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4472c4"/>
          <w:sz w:val="32"/>
          <w:szCs w:val="32"/>
        </w:rPr>
      </w:pPr>
      <w:r w:rsidDel="00000000" w:rsidR="00000000" w:rsidRPr="00000000">
        <w:rPr>
          <w:rFonts w:ascii="Arial" w:cs="Arial" w:eastAsia="Arial" w:hAnsi="Arial"/>
          <w:b w:val="1"/>
          <w:color w:val="4472c4"/>
          <w:sz w:val="32"/>
          <w:szCs w:val="32"/>
          <w:rtl w:val="0"/>
        </w:rPr>
        <w:t xml:space="preserve">Pillar 5 - Leveraging Service to Advocate for your Laboratory</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Using exceptional service as a means to advocate for your clinical lab involves providing an outstanding experience for your clients, which in turn fosters loyalty, positive word-of-mouth referrals, and a strong reputation within the healthcare community. Here's how you can utilize service to advocate for your clinical lab:</w:t>
      </w:r>
    </w:p>
    <w:p w:rsidR="00000000" w:rsidDel="00000000" w:rsidP="00000000" w:rsidRDefault="00000000" w:rsidRPr="00000000" w14:paraId="00000003">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Prioritize Quality and Accuracy:</w:t>
      </w:r>
      <w:r w:rsidDel="00000000" w:rsidR="00000000" w:rsidRPr="00000000">
        <w:rPr>
          <w:rFonts w:ascii="Arial" w:cs="Arial" w:eastAsia="Arial" w:hAnsi="Arial"/>
          <w:rtl w:val="0"/>
        </w:rPr>
        <w:t xml:space="preserve"> Ensuring accurate and reliable test results is paramount. Implement rigorous quality control measures and adhere to regulatory standards to maintain high standards of testing accuracy. Consistently delivering quality results builds trust and confidence in your lab's capabilities.</w:t>
      </w:r>
    </w:p>
    <w:p w:rsidR="00000000" w:rsidDel="00000000" w:rsidP="00000000" w:rsidRDefault="00000000" w:rsidRPr="00000000" w14:paraId="00000004">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Focus on Customer Service:</w:t>
      </w:r>
      <w:r w:rsidDel="00000000" w:rsidR="00000000" w:rsidRPr="00000000">
        <w:rPr>
          <w:rFonts w:ascii="Arial" w:cs="Arial" w:eastAsia="Arial" w:hAnsi="Arial"/>
          <w:rtl w:val="0"/>
        </w:rPr>
        <w:t xml:space="preserve"> Provide personalized and attentive customer service to healthcare providers, patients, and other clients. Address inquiries promptly, communicate clearly, and offer support throughout the testing process. Making clients feel valued and respected enhances their overall experience with your lab.</w:t>
      </w:r>
    </w:p>
    <w:p w:rsidR="00000000" w:rsidDel="00000000" w:rsidP="00000000" w:rsidRDefault="00000000" w:rsidRPr="00000000" w14:paraId="00000005">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Offer Timely Turnaround Times:</w:t>
      </w:r>
      <w:r w:rsidDel="00000000" w:rsidR="00000000" w:rsidRPr="00000000">
        <w:rPr>
          <w:rFonts w:ascii="Arial" w:cs="Arial" w:eastAsia="Arial" w:hAnsi="Arial"/>
          <w:rtl w:val="0"/>
        </w:rPr>
        <w:t xml:space="preserve"> Strive to provide fast and efficient testing services with quick turnaround times. Healthcare providers often require timely results to make informed decisions about patient care. Meeting or exceeding turnaround time expectations demonstrates reliability and responsiveness.</w:t>
      </w:r>
    </w:p>
    <w:p w:rsidR="00000000" w:rsidDel="00000000" w:rsidP="00000000" w:rsidRDefault="00000000" w:rsidRPr="00000000" w14:paraId="00000006">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Ensure Accessibility and Convenience:</w:t>
      </w:r>
      <w:r w:rsidDel="00000000" w:rsidR="00000000" w:rsidRPr="00000000">
        <w:rPr>
          <w:rFonts w:ascii="Arial" w:cs="Arial" w:eastAsia="Arial" w:hAnsi="Arial"/>
          <w:rtl w:val="0"/>
        </w:rPr>
        <w:t xml:space="preserve"> Make it easy for clients to access your lab services. Offer convenient scheduling options, multiple specimen collection sites, and flexible testing hours. Streamlining the testing process reduces barriers to access and enhances client satisfaction.</w:t>
      </w:r>
    </w:p>
    <w:p w:rsidR="00000000" w:rsidDel="00000000" w:rsidP="00000000" w:rsidRDefault="00000000" w:rsidRPr="00000000" w14:paraId="00000007">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Provide Educational Resources:</w:t>
      </w:r>
      <w:r w:rsidDel="00000000" w:rsidR="00000000" w:rsidRPr="00000000">
        <w:rPr>
          <w:rFonts w:ascii="Arial" w:cs="Arial" w:eastAsia="Arial" w:hAnsi="Arial"/>
          <w:rtl w:val="0"/>
        </w:rPr>
        <w:t xml:space="preserve"> Offer educational materials and resources to help clients better understand laboratory testing procedures, interpret test results, and stay informed about advancements in diagnostic technologies. Empowering clients with knowledge fosters trust and strengthens the relationship.</w:t>
      </w:r>
    </w:p>
    <w:p w:rsidR="00000000" w:rsidDel="00000000" w:rsidP="00000000" w:rsidRDefault="00000000" w:rsidRPr="00000000" w14:paraId="00000008">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Customize Services to Client Needs:</w:t>
      </w:r>
      <w:r w:rsidDel="00000000" w:rsidR="00000000" w:rsidRPr="00000000">
        <w:rPr>
          <w:rFonts w:ascii="Arial" w:cs="Arial" w:eastAsia="Arial" w:hAnsi="Arial"/>
          <w:rtl w:val="0"/>
        </w:rPr>
        <w:t xml:space="preserve"> Tailor your services to meet the specific needs and preferences of different client groups. This could involve offering specialized testing panels, customizing reporting formats, or accommodating unique specimen collection requirements. Demonstrating flexibility and willingness to accommodate client preferences enhances satisfaction.</w:t>
      </w:r>
    </w:p>
    <w:p w:rsidR="00000000" w:rsidDel="00000000" w:rsidP="00000000" w:rsidRDefault="00000000" w:rsidRPr="00000000" w14:paraId="00000009">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Proactively Communicate:</w:t>
      </w:r>
      <w:r w:rsidDel="00000000" w:rsidR="00000000" w:rsidRPr="00000000">
        <w:rPr>
          <w:rFonts w:ascii="Arial" w:cs="Arial" w:eastAsia="Arial" w:hAnsi="Arial"/>
          <w:rtl w:val="0"/>
        </w:rPr>
        <w:t xml:space="preserve"> Maintain open lines of communication with clients throughout the testing process. Keep clients informed about the status of their orders, any potential delays, and relevant updates. Proactive communication demonstrates transparency and helps manage client expectations.</w:t>
      </w:r>
    </w:p>
    <w:p w:rsidR="00000000" w:rsidDel="00000000" w:rsidP="00000000" w:rsidRDefault="00000000" w:rsidRPr="00000000" w14:paraId="0000000A">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Seek Feedback and Act on It:</w:t>
      </w:r>
      <w:r w:rsidDel="00000000" w:rsidR="00000000" w:rsidRPr="00000000">
        <w:rPr>
          <w:rFonts w:ascii="Arial" w:cs="Arial" w:eastAsia="Arial" w:hAnsi="Arial"/>
          <w:rtl w:val="0"/>
        </w:rPr>
        <w:t xml:space="preserve"> Encourage clients to provide feedback about their experience with your lab. Actively solicit input through surveys, focus groups, or direct conversations. Use client feedback as an opportunity to identify areas for improvement and implement changes to enhance service delivery.</w:t>
      </w:r>
    </w:p>
    <w:p w:rsidR="00000000" w:rsidDel="00000000" w:rsidP="00000000" w:rsidRDefault="00000000" w:rsidRPr="00000000" w14:paraId="0000000B">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Resolve Issues Promptly:</w:t>
      </w:r>
      <w:r w:rsidDel="00000000" w:rsidR="00000000" w:rsidRPr="00000000">
        <w:rPr>
          <w:rFonts w:ascii="Arial" w:cs="Arial" w:eastAsia="Arial" w:hAnsi="Arial"/>
          <w:rtl w:val="0"/>
        </w:rPr>
        <w:t xml:space="preserve"> Address any issues or concerns raised by clients in a timely and effective manner. Take ownership of problems, investigate root causes, and implement corrective actions to prevent recurrence. Demonstrating a commitment to resolving issues demonstrates accountability and reinforces client trust.</w:t>
      </w:r>
    </w:p>
    <w:p w:rsidR="00000000" w:rsidDel="00000000" w:rsidP="00000000" w:rsidRDefault="00000000" w:rsidRPr="00000000" w14:paraId="0000000C">
      <w:pPr>
        <w:numPr>
          <w:ilvl w:val="0"/>
          <w:numId w:val="1"/>
        </w:numPr>
        <w:ind w:left="720" w:hanging="360"/>
        <w:rPr>
          <w:rFonts w:ascii="Arial" w:cs="Arial" w:eastAsia="Arial" w:hAnsi="Arial"/>
        </w:rPr>
      </w:pPr>
      <w:r w:rsidDel="00000000" w:rsidR="00000000" w:rsidRPr="00000000">
        <w:rPr>
          <w:rFonts w:ascii="Arial" w:cs="Arial" w:eastAsia="Arial" w:hAnsi="Arial"/>
          <w:b w:val="1"/>
          <w:rtl w:val="0"/>
        </w:rPr>
        <w:t xml:space="preserve">Celebrate Successes and Recognize Clients:</w:t>
      </w:r>
      <w:r w:rsidDel="00000000" w:rsidR="00000000" w:rsidRPr="00000000">
        <w:rPr>
          <w:rFonts w:ascii="Arial" w:cs="Arial" w:eastAsia="Arial" w:hAnsi="Arial"/>
          <w:rtl w:val="0"/>
        </w:rPr>
        <w:t xml:space="preserve"> Acknowledge and celebrate milestones, achievements, and successful collaborations with clients. Express gratitude for their partnership and loyalty to your lab. Recognizing clients' contributions fosters a sense of appreciation and strengthens the relationship.</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By consistently delivering exceptional service, your clinical lab can advocate for itself by building a reputation as a trusted partner in healthcare delivery. Satisfied clients are likely to become advocates for your lab, referring others and contributing to its growth and success.</w:t>
      </w:r>
    </w:p>
    <w:p w:rsidR="00000000" w:rsidDel="00000000" w:rsidP="00000000" w:rsidRDefault="00000000" w:rsidRPr="00000000" w14:paraId="0000000E">
      <w:pPr>
        <w:rPr>
          <w:rFonts w:ascii="Arial" w:cs="Arial" w:eastAsia="Arial" w:hAnsi="Arial"/>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680"/>
        <w:tab w:val="right" w:leader="none" w:pos="9360"/>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sJIio4zgHMPzHzeSUnTvD40Jg==">CgMxLjA4AHIhMU9ERGZwMDJDcVNRTC1rUFhuT0dqWlNpSHJOc0NPOGZz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2024-03-15T14:17:00Z</dcterms:created>
  <dc:creator>Abumuhor, Ihab A</dc:creator>
</cp:coreProperties>
</file>