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AFAB1" w14:textId="77777777" w:rsidR="00DE65F0" w:rsidRPr="00DE65F0" w:rsidRDefault="00000000">
      <w:pPr>
        <w:shd w:val="clear" w:color="auto" w:fill="FFFFFF"/>
        <w:spacing w:before="400" w:after="200" w:line="240" w:lineRule="auto"/>
        <w:rPr>
          <w:rFonts w:ascii="Arial" w:eastAsia="Times New Roman" w:hAnsi="Arial" w:cs="Arial"/>
          <w:b/>
          <w:bCs/>
          <w:color w:val="4472C4" w:themeColor="accent1"/>
          <w:sz w:val="32"/>
          <w:szCs w:val="32"/>
        </w:rPr>
      </w:pPr>
      <w:r w:rsidRPr="00DE65F0">
        <w:rPr>
          <w:rFonts w:ascii="Arial" w:eastAsia="Times New Roman" w:hAnsi="Arial" w:cs="Arial"/>
          <w:b/>
          <w:bCs/>
          <w:color w:val="4472C4" w:themeColor="accent1"/>
          <w:sz w:val="32"/>
          <w:szCs w:val="32"/>
        </w:rPr>
        <w:t>Pillar 5: Service and Growth</w:t>
      </w:r>
    </w:p>
    <w:p w14:paraId="00000002" w14:textId="3396ED51" w:rsidR="00CF72FA" w:rsidRPr="00DE65F0" w:rsidRDefault="00000000">
      <w:pPr>
        <w:shd w:val="clear" w:color="auto" w:fill="FFFFFF"/>
        <w:spacing w:before="400" w:after="200" w:line="240" w:lineRule="auto"/>
        <w:rPr>
          <w:rFonts w:ascii="Arial" w:eastAsia="Times New Roman" w:hAnsi="Arial" w:cs="Arial"/>
          <w:b/>
          <w:bCs/>
          <w:color w:val="4472C4" w:themeColor="accent1"/>
          <w:sz w:val="32"/>
          <w:szCs w:val="32"/>
        </w:rPr>
      </w:pPr>
      <w:r w:rsidRPr="00DE65F0">
        <w:rPr>
          <w:rFonts w:ascii="Arial" w:eastAsia="Times New Roman" w:hAnsi="Arial" w:cs="Arial"/>
          <w:b/>
          <w:bCs/>
          <w:color w:val="4472C4" w:themeColor="accent1"/>
          <w:sz w:val="32"/>
          <w:szCs w:val="32"/>
        </w:rPr>
        <w:t>Supplementary References</w:t>
      </w:r>
    </w:p>
    <w:p w14:paraId="00000003" w14:textId="3ECD0ED2" w:rsidR="00CF72FA" w:rsidRPr="00DE65F0" w:rsidRDefault="00DE65F0">
      <w:pPr>
        <w:shd w:val="clear" w:color="auto" w:fill="FFFFFF"/>
        <w:spacing w:before="400"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A7C7F"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  <w:t>Website: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000000" w:rsidRPr="00DE65F0">
        <w:rPr>
          <w:rFonts w:ascii="Arial" w:eastAsia="Times New Roman" w:hAnsi="Arial" w:cs="Arial"/>
          <w:color w:val="000000"/>
          <w:sz w:val="24"/>
          <w:szCs w:val="24"/>
        </w:rPr>
        <w:t>Align the Outreach Laboratory for Growth</w:t>
      </w:r>
      <w:r w:rsidR="00000000" w:rsidRPr="00DE65F0">
        <w:rPr>
          <w:rFonts w:ascii="Arial" w:eastAsia="Times New Roman" w:hAnsi="Arial" w:cs="Arial"/>
          <w:sz w:val="24"/>
          <w:szCs w:val="24"/>
        </w:rPr>
        <w:t xml:space="preserve">: </w:t>
      </w:r>
      <w:hyperlink r:id="rId5">
        <w:r w:rsidR="00000000" w:rsidRPr="00DE65F0">
          <w:rPr>
            <w:rFonts w:ascii="Arial" w:eastAsia="Times New Roman" w:hAnsi="Arial" w:cs="Arial"/>
            <w:color w:val="0563C1"/>
            <w:sz w:val="24"/>
            <w:szCs w:val="24"/>
            <w:u w:val="single"/>
          </w:rPr>
          <w:t>https://www.medlabmag.com/article/1895</w:t>
        </w:r>
      </w:hyperlink>
    </w:p>
    <w:p w14:paraId="00000004" w14:textId="5BBE56AB" w:rsidR="00CF72FA" w:rsidRPr="00DE65F0" w:rsidRDefault="00DE65F0">
      <w:pPr>
        <w:shd w:val="clear" w:color="auto" w:fill="FFFFFF"/>
        <w:spacing w:before="400"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A7C7F"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  <w:t>Website: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000000" w:rsidRPr="00DE65F0">
        <w:rPr>
          <w:rFonts w:ascii="Arial" w:eastAsia="Times New Roman" w:hAnsi="Arial" w:cs="Arial"/>
          <w:color w:val="000000"/>
          <w:sz w:val="24"/>
          <w:szCs w:val="24"/>
        </w:rPr>
        <w:t>Unlocking the financial potential of the hospital laboratory</w:t>
      </w:r>
      <w:r w:rsidR="00000000" w:rsidRPr="00DE65F0">
        <w:rPr>
          <w:rFonts w:ascii="Arial" w:eastAsia="Times New Roman" w:hAnsi="Arial" w:cs="Arial"/>
          <w:sz w:val="24"/>
          <w:szCs w:val="24"/>
        </w:rPr>
        <w:t xml:space="preserve">: </w:t>
      </w:r>
      <w:hyperlink r:id="rId6">
        <w:r w:rsidR="00000000" w:rsidRPr="00DE65F0">
          <w:rPr>
            <w:rFonts w:ascii="Arial" w:eastAsia="Times New Roman" w:hAnsi="Arial" w:cs="Arial"/>
            <w:color w:val="0563C1"/>
            <w:sz w:val="24"/>
            <w:szCs w:val="24"/>
            <w:u w:val="single"/>
          </w:rPr>
          <w:t>https://www.modernhealthcare.com/finance/dont-call-it-cost-center-unlocking-financial-potential-hospital-laboratory</w:t>
        </w:r>
      </w:hyperlink>
    </w:p>
    <w:p w14:paraId="00000005" w14:textId="40FD0D00" w:rsidR="00CF72FA" w:rsidRPr="00DE65F0" w:rsidRDefault="00DE65F0">
      <w:pPr>
        <w:shd w:val="clear" w:color="auto" w:fill="FFFFFF"/>
        <w:spacing w:before="400"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A7C7F"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  <w:t>Website: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000000" w:rsidRPr="00DE65F0">
        <w:rPr>
          <w:rFonts w:ascii="Arial" w:eastAsia="Times New Roman" w:hAnsi="Arial" w:cs="Arial"/>
          <w:color w:val="000000"/>
          <w:sz w:val="24"/>
          <w:szCs w:val="24"/>
        </w:rPr>
        <w:t>How to turn a hospital lab from a cost center to a profit center — 3 takeaway</w:t>
      </w:r>
      <w:r w:rsidR="00000000" w:rsidRPr="00DE65F0">
        <w:rPr>
          <w:rFonts w:ascii="Arial" w:eastAsia="Times New Roman" w:hAnsi="Arial" w:cs="Arial"/>
          <w:sz w:val="24"/>
          <w:szCs w:val="24"/>
        </w:rPr>
        <w:t xml:space="preserve">s: </w:t>
      </w:r>
      <w:hyperlink r:id="rId7">
        <w:r w:rsidR="00000000" w:rsidRPr="00DE65F0">
          <w:rPr>
            <w:rFonts w:ascii="Arial" w:eastAsia="Times New Roman" w:hAnsi="Arial" w:cs="Arial"/>
            <w:color w:val="0563C1"/>
            <w:sz w:val="24"/>
            <w:szCs w:val="24"/>
            <w:u w:val="single"/>
          </w:rPr>
          <w:t>https://www.beckershospitalreview.com/strategy/how-to-turn-a-hospital-lab-from-a-cost-center-to-a-profit-center-3-takeaways.html?oly_enc_id=9274I4191645J3V</w:t>
        </w:r>
      </w:hyperlink>
    </w:p>
    <w:p w14:paraId="00000006" w14:textId="46E893AA" w:rsidR="00CF72FA" w:rsidRPr="00DE65F0" w:rsidRDefault="00DE65F0">
      <w:pPr>
        <w:shd w:val="clear" w:color="auto" w:fill="FFFFFF"/>
        <w:spacing w:before="400"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A7C7F"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  <w:t>Website: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000000" w:rsidRPr="00DE65F0">
        <w:rPr>
          <w:rFonts w:ascii="Arial" w:eastAsia="Times New Roman" w:hAnsi="Arial" w:cs="Arial"/>
          <w:color w:val="000000"/>
          <w:sz w:val="24"/>
          <w:szCs w:val="24"/>
        </w:rPr>
        <w:t>Quality is a Profit Center — Not a Cost Center</w:t>
      </w:r>
      <w:r w:rsidR="00000000" w:rsidRPr="00DE65F0">
        <w:rPr>
          <w:rFonts w:ascii="Arial" w:eastAsia="Times New Roman" w:hAnsi="Arial" w:cs="Arial"/>
          <w:sz w:val="24"/>
          <w:szCs w:val="24"/>
        </w:rPr>
        <w:t xml:space="preserve">: </w:t>
      </w:r>
      <w:hyperlink r:id="rId8">
        <w:r w:rsidR="00000000" w:rsidRPr="00DE65F0">
          <w:rPr>
            <w:rFonts w:ascii="Arial" w:eastAsia="Times New Roman" w:hAnsi="Arial" w:cs="Arial"/>
            <w:color w:val="0563C1"/>
            <w:sz w:val="24"/>
            <w:szCs w:val="24"/>
            <w:u w:val="single"/>
          </w:rPr>
          <w:t>https://www.qualityassurancemag.com/article/quality-is-a-profit-center--not-a-cost-center/</w:t>
        </w:r>
      </w:hyperlink>
    </w:p>
    <w:p w14:paraId="00000007" w14:textId="6375B25A" w:rsidR="00CF72FA" w:rsidRPr="00DE65F0" w:rsidRDefault="00DE65F0">
      <w:pPr>
        <w:shd w:val="clear" w:color="auto" w:fill="FFFFFF"/>
        <w:spacing w:before="400"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A7C7F"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  <w:t>Website: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000000" w:rsidRPr="00DE65F0">
        <w:rPr>
          <w:rFonts w:ascii="Arial" w:eastAsia="Times New Roman" w:hAnsi="Arial" w:cs="Arial"/>
          <w:color w:val="000000"/>
          <w:sz w:val="24"/>
          <w:szCs w:val="24"/>
        </w:rPr>
        <w:t>How Technology is Enabling Clinical Labs to Become Profit Centers</w:t>
      </w:r>
      <w:r w:rsidR="00000000" w:rsidRPr="00DE65F0">
        <w:rPr>
          <w:rFonts w:ascii="Arial" w:eastAsia="Times New Roman" w:hAnsi="Arial" w:cs="Arial"/>
          <w:sz w:val="24"/>
          <w:szCs w:val="24"/>
        </w:rPr>
        <w:t xml:space="preserve">: </w:t>
      </w:r>
      <w:hyperlink r:id="rId9">
        <w:r w:rsidR="00000000" w:rsidRPr="00DE65F0">
          <w:rPr>
            <w:rFonts w:ascii="Arial" w:eastAsia="Times New Roman" w:hAnsi="Arial" w:cs="Arial"/>
            <w:color w:val="0563C1"/>
            <w:sz w:val="24"/>
            <w:szCs w:val="24"/>
            <w:u w:val="single"/>
          </w:rPr>
          <w:t>https://medcitynews.com/2023/02/how-technology-is-enabling-clinical-labs-to-become-profit-centers/</w:t>
        </w:r>
      </w:hyperlink>
    </w:p>
    <w:p w14:paraId="00000008" w14:textId="35481F7B" w:rsidR="00CF72FA" w:rsidRPr="00DE65F0" w:rsidRDefault="00DE65F0">
      <w:pPr>
        <w:shd w:val="clear" w:color="auto" w:fill="FFFFFF"/>
        <w:spacing w:before="400"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A7C7F"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  <w:t>Website: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000000" w:rsidRPr="00DE65F0">
        <w:rPr>
          <w:rFonts w:ascii="Arial" w:eastAsia="Times New Roman" w:hAnsi="Arial" w:cs="Arial"/>
          <w:color w:val="000000"/>
          <w:sz w:val="24"/>
          <w:szCs w:val="24"/>
        </w:rPr>
        <w:t>Transforming the Hospital Laboratory into a Profit Center</w:t>
      </w:r>
      <w:r w:rsidR="00000000" w:rsidRPr="00DE65F0">
        <w:rPr>
          <w:rFonts w:ascii="Arial" w:eastAsia="Times New Roman" w:hAnsi="Arial" w:cs="Arial"/>
          <w:sz w:val="24"/>
          <w:szCs w:val="24"/>
        </w:rPr>
        <w:t xml:space="preserve">: </w:t>
      </w:r>
      <w:hyperlink r:id="rId10">
        <w:r w:rsidR="00000000" w:rsidRPr="00DE65F0">
          <w:rPr>
            <w:rFonts w:ascii="Arial" w:eastAsia="Times New Roman" w:hAnsi="Arial" w:cs="Arial"/>
            <w:color w:val="0563C1"/>
            <w:sz w:val="24"/>
            <w:szCs w:val="24"/>
            <w:u w:val="single"/>
          </w:rPr>
          <w:t>https://revcycleintelligence.com/news/transforming-the-hospital-laboratory-into-a-profit-center</w:t>
        </w:r>
      </w:hyperlink>
    </w:p>
    <w:p w14:paraId="00000009" w14:textId="2AEC8408" w:rsidR="00CF72FA" w:rsidRPr="00DE65F0" w:rsidRDefault="00DE65F0">
      <w:pPr>
        <w:shd w:val="clear" w:color="auto" w:fill="FFFFFF"/>
        <w:spacing w:before="400"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A7C7F"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  <w:t>Website: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000000" w:rsidRPr="00DE65F0">
        <w:rPr>
          <w:rFonts w:ascii="Arial" w:eastAsia="Times New Roman" w:hAnsi="Arial" w:cs="Arial"/>
          <w:color w:val="000000"/>
          <w:sz w:val="24"/>
          <w:szCs w:val="24"/>
        </w:rPr>
        <w:t>Avoid seller’s remorse: Why owning your lab makes sense</w:t>
      </w:r>
      <w:r w:rsidR="00000000" w:rsidRPr="00DE65F0">
        <w:rPr>
          <w:rFonts w:ascii="Arial" w:eastAsia="Times New Roman" w:hAnsi="Arial" w:cs="Arial"/>
          <w:sz w:val="24"/>
          <w:szCs w:val="24"/>
        </w:rPr>
        <w:t xml:space="preserve">: </w:t>
      </w:r>
      <w:hyperlink r:id="rId11">
        <w:r w:rsidR="00000000" w:rsidRPr="00DE65F0">
          <w:rPr>
            <w:rFonts w:ascii="Arial" w:eastAsia="Times New Roman" w:hAnsi="Arial" w:cs="Arial"/>
            <w:color w:val="0563C1"/>
            <w:sz w:val="24"/>
            <w:szCs w:val="24"/>
            <w:u w:val="single"/>
          </w:rPr>
          <w:t>https://news.mayocliniclabs.com/2021/04/19/avoid-sellers-remorse-why-owning-your-lab-makes-sense/</w:t>
        </w:r>
      </w:hyperlink>
    </w:p>
    <w:p w14:paraId="0000000A" w14:textId="4E91F249" w:rsidR="00CF72FA" w:rsidRPr="00DE65F0" w:rsidRDefault="00DE65F0">
      <w:pPr>
        <w:shd w:val="clear" w:color="auto" w:fill="FFFFFF"/>
        <w:spacing w:before="400"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A7C7F"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  <w:t>Website: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000000" w:rsidRPr="00DE65F0">
        <w:rPr>
          <w:rFonts w:ascii="Arial" w:eastAsia="Times New Roman" w:hAnsi="Arial" w:cs="Arial"/>
          <w:color w:val="000000"/>
          <w:sz w:val="24"/>
          <w:szCs w:val="24"/>
        </w:rPr>
        <w:t>Lean six sigma methodologies improve clinical laboratory efficiency and reduce turnaround times</w:t>
      </w:r>
      <w:r w:rsidR="00000000" w:rsidRPr="00DE65F0">
        <w:rPr>
          <w:rFonts w:ascii="Arial" w:eastAsia="Times New Roman" w:hAnsi="Arial" w:cs="Arial"/>
          <w:sz w:val="24"/>
          <w:szCs w:val="24"/>
        </w:rPr>
        <w:t xml:space="preserve">: </w:t>
      </w:r>
      <w:hyperlink r:id="rId12">
        <w:r w:rsidR="00000000" w:rsidRPr="00DE65F0">
          <w:rPr>
            <w:rFonts w:ascii="Arial" w:eastAsia="Times New Roman" w:hAnsi="Arial" w:cs="Arial"/>
            <w:color w:val="0563C1"/>
            <w:sz w:val="24"/>
            <w:szCs w:val="24"/>
            <w:u w:val="single"/>
          </w:rPr>
          <w:t>https://www.ncbi.nlm.nih.gov/pmc/articles/PMC6817099/</w:t>
        </w:r>
      </w:hyperlink>
    </w:p>
    <w:p w14:paraId="0000000B" w14:textId="5008AA05" w:rsidR="00CF72FA" w:rsidRPr="00DE65F0" w:rsidRDefault="00DE65F0">
      <w:pPr>
        <w:shd w:val="clear" w:color="auto" w:fill="FFFFFF"/>
        <w:spacing w:before="400"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A7C7F"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  <w:t>Website: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000000" w:rsidRPr="00DE65F0">
        <w:rPr>
          <w:rFonts w:ascii="Arial" w:eastAsia="Times New Roman" w:hAnsi="Arial" w:cs="Arial"/>
          <w:color w:val="000000"/>
          <w:sz w:val="24"/>
          <w:szCs w:val="24"/>
        </w:rPr>
        <w:t>Value of Clinical Laboratory Services in Health Care</w:t>
      </w:r>
      <w:r w:rsidR="00000000" w:rsidRPr="00DE65F0">
        <w:rPr>
          <w:rFonts w:ascii="Arial" w:eastAsia="Times New Roman" w:hAnsi="Arial" w:cs="Arial"/>
          <w:sz w:val="24"/>
          <w:szCs w:val="24"/>
        </w:rPr>
        <w:t xml:space="preserve">: </w:t>
      </w:r>
      <w:hyperlink r:id="rId13">
        <w:r w:rsidR="00000000" w:rsidRPr="00DE65F0">
          <w:rPr>
            <w:rFonts w:ascii="Arial" w:eastAsia="Times New Roman" w:hAnsi="Arial" w:cs="Arial"/>
            <w:color w:val="0563C1"/>
            <w:sz w:val="24"/>
            <w:szCs w:val="24"/>
            <w:u w:val="single"/>
          </w:rPr>
          <w:t>https://clsjournal.ascls.org/content/26/1/8</w:t>
        </w:r>
      </w:hyperlink>
    </w:p>
    <w:p w14:paraId="0000000C" w14:textId="776F50F0" w:rsidR="00CF72FA" w:rsidRPr="00DE65F0" w:rsidRDefault="00DE65F0">
      <w:pPr>
        <w:shd w:val="clear" w:color="auto" w:fill="FFFFFF"/>
        <w:spacing w:before="400"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A7C7F"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  <w:lastRenderedPageBreak/>
        <w:t>Website: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000000" w:rsidRPr="00DE65F0">
        <w:rPr>
          <w:rFonts w:ascii="Arial" w:eastAsia="Times New Roman" w:hAnsi="Arial" w:cs="Arial"/>
          <w:color w:val="000000"/>
          <w:sz w:val="24"/>
          <w:szCs w:val="24"/>
        </w:rPr>
        <w:t>Lab 4.0: Making Digital Transformation Work for Your Laboratory</w:t>
      </w:r>
      <w:r w:rsidR="00000000" w:rsidRPr="00DE65F0">
        <w:rPr>
          <w:rFonts w:ascii="Arial" w:eastAsia="Times New Roman" w:hAnsi="Arial" w:cs="Arial"/>
          <w:sz w:val="24"/>
          <w:szCs w:val="24"/>
        </w:rPr>
        <w:t xml:space="preserve">: </w:t>
      </w:r>
      <w:hyperlink r:id="rId14">
        <w:r w:rsidR="00000000" w:rsidRPr="00DE65F0">
          <w:rPr>
            <w:rFonts w:ascii="Arial" w:eastAsia="Times New Roman" w:hAnsi="Arial" w:cs="Arial"/>
            <w:color w:val="0563C1"/>
            <w:sz w:val="24"/>
            <w:szCs w:val="24"/>
            <w:u w:val="single"/>
          </w:rPr>
          <w:t>https://www.technologynetworks.com/informatics/articles/lab-40-making-digital-transformation-work-for-your-laboratory-358583</w:t>
        </w:r>
      </w:hyperlink>
    </w:p>
    <w:p w14:paraId="0000000D" w14:textId="04810033" w:rsidR="00CF72FA" w:rsidRPr="00DE65F0" w:rsidRDefault="00DE65F0">
      <w:pPr>
        <w:shd w:val="clear" w:color="auto" w:fill="FFFFFF"/>
        <w:spacing w:before="400"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A7C7F"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  <w:t>Website: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000000" w:rsidRPr="00DE65F0">
        <w:rPr>
          <w:rFonts w:ascii="Arial" w:eastAsia="Times New Roman" w:hAnsi="Arial" w:cs="Arial"/>
          <w:color w:val="000000"/>
          <w:sz w:val="24"/>
          <w:szCs w:val="24"/>
        </w:rPr>
        <w:t>Integrating Artificial Intelligence for Clinical and Laboratory Diagnosis – a Review</w:t>
      </w:r>
      <w:r w:rsidR="00000000" w:rsidRPr="00DE65F0">
        <w:rPr>
          <w:rFonts w:ascii="Arial" w:eastAsia="Times New Roman" w:hAnsi="Arial" w:cs="Arial"/>
          <w:sz w:val="24"/>
          <w:szCs w:val="24"/>
        </w:rPr>
        <w:t xml:space="preserve">: </w:t>
      </w:r>
      <w:hyperlink r:id="rId15" w:anchor=":~:text=Artificial%20intelligence%20has%20the%20ability,%2C%20operation%2C%20and%20outcome%20management">
        <w:r w:rsidR="00000000" w:rsidRPr="00DE65F0">
          <w:rPr>
            <w:rFonts w:ascii="Arial" w:eastAsia="Times New Roman" w:hAnsi="Arial" w:cs="Arial"/>
            <w:color w:val="0563C1"/>
            <w:sz w:val="24"/>
            <w:szCs w:val="24"/>
            <w:u w:val="single"/>
          </w:rPr>
          <w:t>https://www.ncbi.nlm.nih.gov/pmc/articles/PMC9375890/#:~:text=Artificial%20intelligence%20has%20the%20ability,%2C%20operation%2C%20and%20outcome%20management</w:t>
        </w:r>
      </w:hyperlink>
      <w:r w:rsidR="00000000" w:rsidRPr="00DE65F0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0000000E" w14:textId="63F1657D" w:rsidR="00CF72FA" w:rsidRPr="00DE65F0" w:rsidRDefault="00DE65F0">
      <w:pPr>
        <w:shd w:val="clear" w:color="auto" w:fill="FFFFFF"/>
        <w:spacing w:before="400"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A7C7F"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  <w:t>Website: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000000" w:rsidRPr="00DE65F0">
        <w:rPr>
          <w:rFonts w:ascii="Arial" w:eastAsia="Times New Roman" w:hAnsi="Arial" w:cs="Arial"/>
          <w:color w:val="000000"/>
          <w:sz w:val="24"/>
          <w:szCs w:val="24"/>
        </w:rPr>
        <w:t xml:space="preserve">Clinical Laboratory Services Market Size, Growth, Forecast Report 2021 to 2030: </w:t>
      </w:r>
      <w:hyperlink r:id="rId16">
        <w:r w:rsidR="00000000" w:rsidRPr="00DE65F0">
          <w:rPr>
            <w:rFonts w:ascii="Arial" w:eastAsia="Times New Roman" w:hAnsi="Arial" w:cs="Arial"/>
            <w:color w:val="0563C1"/>
            <w:sz w:val="24"/>
            <w:szCs w:val="24"/>
            <w:u w:val="single"/>
          </w:rPr>
          <w:t>https://www.biospace.com/article/clinical-laboratory-services-market-size-growth-forecast-report-2021-to-2030/</w:t>
        </w:r>
      </w:hyperlink>
    </w:p>
    <w:p w14:paraId="0000000F" w14:textId="3ECF58C2" w:rsidR="00CF72FA" w:rsidRPr="00DE65F0" w:rsidRDefault="00DE65F0">
      <w:pPr>
        <w:shd w:val="clear" w:color="auto" w:fill="FFFFFF"/>
        <w:spacing w:before="400"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A7C7F"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  <w:t>Website: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000000" w:rsidRPr="00DE65F0">
        <w:rPr>
          <w:rFonts w:ascii="Arial" w:eastAsia="Times New Roman" w:hAnsi="Arial" w:cs="Arial"/>
          <w:color w:val="000000"/>
          <w:sz w:val="24"/>
          <w:szCs w:val="24"/>
        </w:rPr>
        <w:t xml:space="preserve">Clinical Laboratory Workload Growth - How Much Is </w:t>
      </w:r>
      <w:proofErr w:type="gramStart"/>
      <w:r w:rsidR="00000000" w:rsidRPr="00DE65F0">
        <w:rPr>
          <w:rFonts w:ascii="Arial" w:eastAsia="Times New Roman" w:hAnsi="Arial" w:cs="Arial"/>
          <w:color w:val="000000"/>
          <w:sz w:val="24"/>
          <w:szCs w:val="24"/>
        </w:rPr>
        <w:t>Appropriate?</w:t>
      </w:r>
      <w:r w:rsidR="00000000" w:rsidRPr="00DE65F0">
        <w:rPr>
          <w:rFonts w:ascii="Arial" w:eastAsia="Times New Roman" w:hAnsi="Arial" w:cs="Arial"/>
          <w:sz w:val="24"/>
          <w:szCs w:val="24"/>
        </w:rPr>
        <w:t>:</w:t>
      </w:r>
      <w:proofErr w:type="gramEnd"/>
      <w:r w:rsidR="00000000" w:rsidRPr="00DE65F0">
        <w:rPr>
          <w:rFonts w:ascii="Arial" w:eastAsia="Times New Roman" w:hAnsi="Arial" w:cs="Arial"/>
          <w:sz w:val="24"/>
          <w:szCs w:val="24"/>
        </w:rPr>
        <w:t xml:space="preserve"> </w:t>
      </w:r>
      <w:hyperlink r:id="rId17">
        <w:r w:rsidR="00000000" w:rsidRPr="00DE65F0">
          <w:rPr>
            <w:rFonts w:ascii="Arial" w:eastAsia="Times New Roman" w:hAnsi="Arial" w:cs="Arial"/>
            <w:color w:val="0563C1"/>
            <w:sz w:val="24"/>
            <w:szCs w:val="24"/>
            <w:u w:val="single"/>
          </w:rPr>
          <w:t>https://www.ncbi.nlm.nih.gov/pmc/articles/PMC2203908/</w:t>
        </w:r>
      </w:hyperlink>
    </w:p>
    <w:p w14:paraId="00000010" w14:textId="338CD6FB" w:rsidR="00CF72FA" w:rsidRPr="00DE65F0" w:rsidRDefault="00DE65F0">
      <w:pPr>
        <w:shd w:val="clear" w:color="auto" w:fill="FFFFFF"/>
        <w:spacing w:before="400"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A7C7F"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  <w:t>Website: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000000" w:rsidRPr="00DE65F0">
        <w:rPr>
          <w:rFonts w:ascii="Arial" w:eastAsia="Times New Roman" w:hAnsi="Arial" w:cs="Arial"/>
          <w:color w:val="000000"/>
          <w:sz w:val="24"/>
          <w:szCs w:val="24"/>
        </w:rPr>
        <w:t>The Laboratory as a Service Line and Revenue Generator</w:t>
      </w:r>
      <w:r w:rsidR="00000000" w:rsidRPr="00DE65F0">
        <w:rPr>
          <w:rFonts w:ascii="Arial" w:eastAsia="Times New Roman" w:hAnsi="Arial" w:cs="Arial"/>
          <w:sz w:val="24"/>
          <w:szCs w:val="24"/>
        </w:rPr>
        <w:t xml:space="preserve">: </w:t>
      </w:r>
      <w:hyperlink r:id="rId18">
        <w:r w:rsidR="00000000" w:rsidRPr="00DE65F0">
          <w:rPr>
            <w:rFonts w:ascii="Arial" w:eastAsia="Times New Roman" w:hAnsi="Arial" w:cs="Arial"/>
            <w:color w:val="0563C1"/>
            <w:sz w:val="24"/>
            <w:szCs w:val="24"/>
            <w:u w:val="single"/>
          </w:rPr>
          <w:t>https://www.psqh.com/analysis/the-laboratory-as-a-service-line-and-revenue-generator/</w:t>
        </w:r>
      </w:hyperlink>
    </w:p>
    <w:p w14:paraId="00000011" w14:textId="3D20201E" w:rsidR="00CF72FA" w:rsidRPr="00DE65F0" w:rsidRDefault="00DE65F0">
      <w:pPr>
        <w:shd w:val="clear" w:color="auto" w:fill="FFFFFF"/>
        <w:spacing w:before="400"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A7C7F"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  <w:t>Website: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000000" w:rsidRPr="00DE65F0">
        <w:rPr>
          <w:rFonts w:ascii="Arial" w:eastAsia="Times New Roman" w:hAnsi="Arial" w:cs="Arial"/>
          <w:color w:val="000000"/>
          <w:sz w:val="24"/>
          <w:szCs w:val="24"/>
        </w:rPr>
        <w:t>The Clinical Lab of the Future … is Here</w:t>
      </w:r>
      <w:r w:rsidR="00000000" w:rsidRPr="00DE65F0">
        <w:rPr>
          <w:rFonts w:ascii="Arial" w:eastAsia="Times New Roman" w:hAnsi="Arial" w:cs="Arial"/>
          <w:sz w:val="24"/>
          <w:szCs w:val="24"/>
        </w:rPr>
        <w:t xml:space="preserve">: </w:t>
      </w:r>
      <w:hyperlink r:id="rId19">
        <w:r w:rsidR="00000000" w:rsidRPr="00DE65F0">
          <w:rPr>
            <w:rFonts w:ascii="Arial" w:eastAsia="Times New Roman" w:hAnsi="Arial" w:cs="Arial"/>
            <w:color w:val="0563C1"/>
            <w:sz w:val="24"/>
            <w:szCs w:val="24"/>
            <w:u w:val="single"/>
          </w:rPr>
          <w:t>https://www.ache.org/blog/2022/the-clinical-lab-of-the-future-is-here</w:t>
        </w:r>
      </w:hyperlink>
    </w:p>
    <w:p w14:paraId="00000012" w14:textId="147CFCF0" w:rsidR="00CF72FA" w:rsidRPr="00DE65F0" w:rsidRDefault="00DE65F0">
      <w:pPr>
        <w:shd w:val="clear" w:color="auto" w:fill="FFFFFF"/>
        <w:spacing w:before="400" w:after="200" w:line="240" w:lineRule="auto"/>
        <w:rPr>
          <w:rFonts w:ascii="Arial" w:eastAsia="Times New Roman" w:hAnsi="Arial" w:cs="Arial"/>
          <w:sz w:val="24"/>
          <w:szCs w:val="24"/>
        </w:rPr>
      </w:pPr>
      <w:r w:rsidRPr="006A7C7F"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  <w:t>Website: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000000" w:rsidRPr="00DE65F0">
        <w:rPr>
          <w:rFonts w:ascii="Arial" w:eastAsia="Times New Roman" w:hAnsi="Arial" w:cs="Arial"/>
          <w:color w:val="000000"/>
          <w:sz w:val="24"/>
          <w:szCs w:val="24"/>
        </w:rPr>
        <w:t>The Profit machine in the Hospital Basement</w:t>
      </w:r>
      <w:r w:rsidR="00000000" w:rsidRPr="00DE65F0">
        <w:rPr>
          <w:rFonts w:ascii="Arial" w:eastAsia="Times New Roman" w:hAnsi="Arial" w:cs="Arial"/>
          <w:sz w:val="24"/>
          <w:szCs w:val="24"/>
        </w:rPr>
        <w:t xml:space="preserve">: </w:t>
      </w:r>
      <w:hyperlink r:id="rId20">
        <w:r w:rsidR="00000000" w:rsidRPr="00DE65F0">
          <w:rPr>
            <w:rFonts w:ascii="Arial" w:eastAsia="Times New Roman" w:hAnsi="Arial" w:cs="Arial"/>
            <w:color w:val="0563C1"/>
            <w:sz w:val="24"/>
            <w:szCs w:val="24"/>
            <w:u w:val="single"/>
          </w:rPr>
          <w:t>https://www.accumen.com/wp-content/uploads/2016/04/2016_04_21-Press-Release-for-New-Book-FINAL-MR15v9.pdf</w:t>
        </w:r>
      </w:hyperlink>
    </w:p>
    <w:sectPr w:rsidR="00CF72FA" w:rsidRPr="00DE65F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2FA"/>
    <w:rsid w:val="005F6FD3"/>
    <w:rsid w:val="00CF72FA"/>
    <w:rsid w:val="00DE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6D0E08"/>
  <w15:docId w15:val="{2DED011D-17F4-8E4E-82A9-FE2A247C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E207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075A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alityassurancemag.com/article/quality-is-a-profit-center--not-a-cost-center/" TargetMode="External"/><Relationship Id="rId13" Type="http://schemas.openxmlformats.org/officeDocument/2006/relationships/hyperlink" Target="https://clsjournal.ascls.org/content/26/1/8" TargetMode="External"/><Relationship Id="rId18" Type="http://schemas.openxmlformats.org/officeDocument/2006/relationships/hyperlink" Target="https://www.psqh.com/analysis/the-laboratory-as-a-service-line-and-revenue-generator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beckershospitalreview.com/strategy/how-to-turn-a-hospital-lab-from-a-cost-center-to-a-profit-center-3-takeaways.html?oly_enc_id=9274I4191645J3V" TargetMode="External"/><Relationship Id="rId12" Type="http://schemas.openxmlformats.org/officeDocument/2006/relationships/hyperlink" Target="https://www.ncbi.nlm.nih.gov/pmc/articles/PMC6817099/" TargetMode="External"/><Relationship Id="rId17" Type="http://schemas.openxmlformats.org/officeDocument/2006/relationships/hyperlink" Target="https://www.ncbi.nlm.nih.gov/pmc/articles/PMC220390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iospace.com/article/clinical-laboratory-services-market-size-growth-forecast-report-2021-to-2030/" TargetMode="External"/><Relationship Id="rId20" Type="http://schemas.openxmlformats.org/officeDocument/2006/relationships/hyperlink" Target="https://www.accumen.com/wp-content/uploads/2016/04/2016_04_21-Press-Release-for-New-Book-FINAL-MR15v9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modernhealthcare.com/finance/dont-call-it-cost-center-unlocking-financial-potential-hospital-laboratory" TargetMode="External"/><Relationship Id="rId11" Type="http://schemas.openxmlformats.org/officeDocument/2006/relationships/hyperlink" Target="https://news.mayocliniclabs.com/2021/04/19/avoid-sellers-remorse-why-owning-your-lab-makes-sense/" TargetMode="External"/><Relationship Id="rId5" Type="http://schemas.openxmlformats.org/officeDocument/2006/relationships/hyperlink" Target="https://www.medlabmag.com/article/1895" TargetMode="External"/><Relationship Id="rId15" Type="http://schemas.openxmlformats.org/officeDocument/2006/relationships/hyperlink" Target="https://www.ncbi.nlm.nih.gov/pmc/articles/PMC9375890/" TargetMode="External"/><Relationship Id="rId10" Type="http://schemas.openxmlformats.org/officeDocument/2006/relationships/hyperlink" Target="https://revcycleintelligence.com/news/transforming-the-hospital-laboratory-into-a-profit-center" TargetMode="External"/><Relationship Id="rId19" Type="http://schemas.openxmlformats.org/officeDocument/2006/relationships/hyperlink" Target="https://www.ache.org/blog/2022/the-clinical-lab-of-the-future-is-he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citynews.com/2023/02/how-technology-is-enabling-clinical-labs-to-become-profit-centers/" TargetMode="External"/><Relationship Id="rId14" Type="http://schemas.openxmlformats.org/officeDocument/2006/relationships/hyperlink" Target="https://www.technologynetworks.com/informatics/articles/lab-40-making-digital-transformation-work-for-your-laboratory-35858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FUl7tsKsTuy3lqVRI3/ORTtFjA==">CgMxLjA4AHIhMThpUlVqUmN1VnpxMlZlLUFqZFprdnBuZzA1alhqQVZr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Abumuhor, Ihab A</dc:creator>
  <cp:lastModifiedBy>Sabina Pacula-Cwanek</cp:lastModifiedBy>
  <cp:revision>3</cp:revision>
  <dcterms:created xsi:type="dcterms:W3CDTF">2024-03-15T14:10:00Z</dcterms:created>
  <dcterms:modified xsi:type="dcterms:W3CDTF">2024-03-15T14:12:00Z</dcterms:modified>
</cp:coreProperties>
</file>