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709A" w14:textId="5799092A" w:rsidR="0075745B" w:rsidRPr="0075745B" w:rsidRDefault="0075745B" w:rsidP="0075745B">
      <w:pPr>
        <w:spacing w:after="120"/>
        <w:rPr>
          <w:rFonts w:ascii="Arial" w:eastAsia="Arial" w:hAnsi="Arial" w:cs="Arial"/>
          <w:b/>
          <w:color w:val="5B9BD5" w:themeColor="accent1"/>
          <w:sz w:val="32"/>
          <w:szCs w:val="32"/>
        </w:rPr>
      </w:pPr>
      <w:r w:rsidRPr="0075745B">
        <w:rPr>
          <w:rFonts w:ascii="Arial" w:eastAsia="Arial" w:hAnsi="Arial" w:cs="Arial"/>
          <w:b/>
          <w:color w:val="5B9BD5" w:themeColor="accent1"/>
          <w:sz w:val="32"/>
          <w:szCs w:val="32"/>
        </w:rPr>
        <w:t xml:space="preserve">Pillar 4: </w:t>
      </w:r>
      <w:r w:rsidRPr="0075745B">
        <w:rPr>
          <w:rFonts w:ascii="Arial" w:eastAsia="Arial" w:hAnsi="Arial" w:cs="Arial"/>
          <w:b/>
          <w:color w:val="5B9BD5" w:themeColor="accent1"/>
          <w:sz w:val="32"/>
          <w:szCs w:val="32"/>
        </w:rPr>
        <w:t xml:space="preserve">Lab Finance can advocate for and elevate the lab in several ways: </w:t>
      </w:r>
    </w:p>
    <w:p w14:paraId="61AD7CD0" w14:textId="77777777" w:rsidR="0075745B" w:rsidRPr="0091377B" w:rsidRDefault="0075745B" w:rsidP="0075745B">
      <w:pPr>
        <w:rPr>
          <w:rFonts w:ascii="Arial" w:hAnsi="Arial" w:cs="Arial"/>
          <w:b/>
          <w:bCs/>
          <w:sz w:val="28"/>
          <w:szCs w:val="28"/>
        </w:rPr>
      </w:pPr>
    </w:p>
    <w:p w14:paraId="579A3298"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Cost Efficiency</w:t>
      </w:r>
      <w:r w:rsidRPr="0091377B">
        <w:rPr>
          <w:rFonts w:ascii="Arial" w:hAnsi="Arial" w:cs="Arial"/>
          <w:sz w:val="24"/>
          <w:szCs w:val="24"/>
        </w:rPr>
        <w:t>: By effectively managing finances, clinical labs can demonstrate cost efficiency in their operations. This could involve optimizing resource utilization, negotiating favorable contracts with suppliers, and minimizing wastage. Advocating for cost efficiency can showcase the lab's ability to deliver quality services while keeping expenses in check.</w:t>
      </w:r>
    </w:p>
    <w:p w14:paraId="5193D4CC" w14:textId="77777777" w:rsidR="0075745B" w:rsidRPr="0091377B" w:rsidRDefault="0075745B" w:rsidP="0075745B">
      <w:pPr>
        <w:numPr>
          <w:ilvl w:val="1"/>
          <w:numId w:val="2"/>
        </w:numPr>
        <w:rPr>
          <w:rFonts w:ascii="Arial" w:hAnsi="Arial" w:cs="Arial"/>
          <w:sz w:val="24"/>
          <w:szCs w:val="24"/>
        </w:rPr>
      </w:pPr>
      <w:r w:rsidRPr="0091377B">
        <w:rPr>
          <w:rFonts w:ascii="Arial" w:hAnsi="Arial" w:cs="Arial"/>
          <w:sz w:val="24"/>
          <w:szCs w:val="24"/>
        </w:rPr>
        <w:t>Brainstorm with your team to identify ways to reduce expenses/waste and optimize processes and implement them.</w:t>
      </w:r>
    </w:p>
    <w:p w14:paraId="2F577F4F" w14:textId="77777777" w:rsidR="0075745B" w:rsidRPr="0091377B" w:rsidRDefault="0075745B" w:rsidP="0075745B">
      <w:pPr>
        <w:numPr>
          <w:ilvl w:val="1"/>
          <w:numId w:val="2"/>
        </w:numPr>
        <w:rPr>
          <w:rFonts w:ascii="Arial" w:hAnsi="Arial" w:cs="Arial"/>
          <w:sz w:val="24"/>
          <w:szCs w:val="24"/>
        </w:rPr>
      </w:pPr>
      <w:r w:rsidRPr="0091377B">
        <w:rPr>
          <w:rFonts w:ascii="Arial" w:hAnsi="Arial" w:cs="Arial"/>
          <w:sz w:val="24"/>
          <w:szCs w:val="24"/>
        </w:rPr>
        <w:t xml:space="preserve">Track/capture cost savings and share information with leaders and </w:t>
      </w:r>
      <w:proofErr w:type="gramStart"/>
      <w:r w:rsidRPr="0091377B">
        <w:rPr>
          <w:rFonts w:ascii="Arial" w:hAnsi="Arial" w:cs="Arial"/>
          <w:sz w:val="24"/>
          <w:szCs w:val="24"/>
        </w:rPr>
        <w:t>staff</w:t>
      </w:r>
      <w:proofErr w:type="gramEnd"/>
    </w:p>
    <w:p w14:paraId="4ABBD470" w14:textId="77777777" w:rsidR="0075745B" w:rsidRPr="0091377B" w:rsidRDefault="0075745B" w:rsidP="0075745B">
      <w:pPr>
        <w:ind w:left="1440"/>
        <w:rPr>
          <w:rFonts w:ascii="Arial" w:hAnsi="Arial" w:cs="Arial"/>
          <w:sz w:val="24"/>
          <w:szCs w:val="24"/>
        </w:rPr>
      </w:pPr>
    </w:p>
    <w:p w14:paraId="22D1A541"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Revenue Generation</w:t>
      </w:r>
      <w:r w:rsidRPr="0091377B">
        <w:rPr>
          <w:rFonts w:ascii="Arial" w:hAnsi="Arial" w:cs="Arial"/>
          <w:sz w:val="24"/>
          <w:szCs w:val="24"/>
        </w:rPr>
        <w:t>: Clinical labs can explore opportunities to generate revenue beyond traditional testing services. This might involve offering specialized tests or partnering with other healthcare providers for collaborative ventures. By diversifying revenue streams, labs can strengthen their financial position and demonstrate their value to stakeholders.</w:t>
      </w:r>
    </w:p>
    <w:p w14:paraId="5FBD7CE9" w14:textId="77777777" w:rsidR="0075745B" w:rsidRPr="0091377B" w:rsidRDefault="0075745B" w:rsidP="0075745B">
      <w:pPr>
        <w:numPr>
          <w:ilvl w:val="1"/>
          <w:numId w:val="2"/>
        </w:numPr>
        <w:rPr>
          <w:rFonts w:ascii="Arial" w:hAnsi="Arial" w:cs="Arial"/>
          <w:sz w:val="24"/>
          <w:szCs w:val="24"/>
        </w:rPr>
      </w:pPr>
      <w:r w:rsidRPr="0091377B">
        <w:rPr>
          <w:rFonts w:ascii="Arial" w:hAnsi="Arial" w:cs="Arial"/>
          <w:sz w:val="24"/>
          <w:szCs w:val="24"/>
        </w:rPr>
        <w:t xml:space="preserve">Perform ROIs for those items that do require start-up </w:t>
      </w:r>
      <w:proofErr w:type="gramStart"/>
      <w:r w:rsidRPr="0091377B">
        <w:rPr>
          <w:rFonts w:ascii="Arial" w:hAnsi="Arial" w:cs="Arial"/>
          <w:sz w:val="24"/>
          <w:szCs w:val="24"/>
        </w:rPr>
        <w:t>costs</w:t>
      </w:r>
      <w:proofErr w:type="gramEnd"/>
    </w:p>
    <w:p w14:paraId="036DEFBC" w14:textId="77777777" w:rsidR="0075745B" w:rsidRPr="0091377B" w:rsidRDefault="0075745B" w:rsidP="0075745B">
      <w:pPr>
        <w:numPr>
          <w:ilvl w:val="1"/>
          <w:numId w:val="2"/>
        </w:numPr>
        <w:rPr>
          <w:rFonts w:ascii="Arial" w:hAnsi="Arial" w:cs="Arial"/>
          <w:sz w:val="24"/>
          <w:szCs w:val="24"/>
        </w:rPr>
      </w:pPr>
      <w:r w:rsidRPr="0091377B">
        <w:rPr>
          <w:rFonts w:ascii="Arial" w:hAnsi="Arial" w:cs="Arial"/>
          <w:sz w:val="24"/>
          <w:szCs w:val="24"/>
        </w:rPr>
        <w:t xml:space="preserve">For those that do not cost anything to implement, be sure to track/capture revenue increases and share with leaders and </w:t>
      </w:r>
      <w:proofErr w:type="gramStart"/>
      <w:r w:rsidRPr="0091377B">
        <w:rPr>
          <w:rFonts w:ascii="Arial" w:hAnsi="Arial" w:cs="Arial"/>
          <w:sz w:val="24"/>
          <w:szCs w:val="24"/>
        </w:rPr>
        <w:t>staff</w:t>
      </w:r>
      <w:proofErr w:type="gramEnd"/>
    </w:p>
    <w:p w14:paraId="2B92A0CB" w14:textId="77777777" w:rsidR="0075745B" w:rsidRPr="0091377B" w:rsidRDefault="0075745B" w:rsidP="0075745B">
      <w:pPr>
        <w:ind w:left="1440"/>
        <w:rPr>
          <w:rFonts w:ascii="Arial" w:hAnsi="Arial" w:cs="Arial"/>
          <w:sz w:val="24"/>
          <w:szCs w:val="24"/>
        </w:rPr>
      </w:pPr>
    </w:p>
    <w:p w14:paraId="332F46A4"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Quality Improvement</w:t>
      </w:r>
      <w:r w:rsidRPr="0091377B">
        <w:rPr>
          <w:rFonts w:ascii="Arial" w:hAnsi="Arial" w:cs="Arial"/>
          <w:sz w:val="24"/>
          <w:szCs w:val="24"/>
        </w:rPr>
        <w:t>: Investing in quality improvement initiatives can have long-term financial benefits for clinical labs. By ensuring accurate and reliable test results, labs can reduce the risk of errors, which can lead to cost savings by avoiding rework or legal implications. Advocating for quality improvement demonstrates a commitment to excellence and can enhance the lab's reputation.</w:t>
      </w:r>
    </w:p>
    <w:p w14:paraId="37B5D294" w14:textId="77777777" w:rsidR="0075745B" w:rsidRPr="0091377B" w:rsidRDefault="0075745B" w:rsidP="0075745B">
      <w:pPr>
        <w:numPr>
          <w:ilvl w:val="1"/>
          <w:numId w:val="2"/>
        </w:numPr>
        <w:rPr>
          <w:rFonts w:ascii="Arial" w:hAnsi="Arial" w:cs="Arial"/>
          <w:sz w:val="24"/>
          <w:szCs w:val="24"/>
        </w:rPr>
      </w:pPr>
      <w:r w:rsidRPr="0091377B">
        <w:rPr>
          <w:rFonts w:ascii="Arial" w:hAnsi="Arial" w:cs="Arial"/>
          <w:sz w:val="24"/>
          <w:szCs w:val="24"/>
        </w:rPr>
        <w:t>Perform Cost of Poor Quality (</w:t>
      </w:r>
      <w:proofErr w:type="spellStart"/>
      <w:r w:rsidRPr="0091377B">
        <w:rPr>
          <w:rFonts w:ascii="Arial" w:hAnsi="Arial" w:cs="Arial"/>
          <w:sz w:val="24"/>
          <w:szCs w:val="24"/>
        </w:rPr>
        <w:t>CoPQ</w:t>
      </w:r>
      <w:proofErr w:type="spellEnd"/>
      <w:r w:rsidRPr="0091377B">
        <w:rPr>
          <w:rFonts w:ascii="Arial" w:hAnsi="Arial" w:cs="Arial"/>
          <w:sz w:val="24"/>
          <w:szCs w:val="24"/>
        </w:rPr>
        <w:t xml:space="preserve">) assessment - calculate cost avoidance when these issues are </w:t>
      </w:r>
      <w:proofErr w:type="gramStart"/>
      <w:r w:rsidRPr="0091377B">
        <w:rPr>
          <w:rFonts w:ascii="Arial" w:hAnsi="Arial" w:cs="Arial"/>
          <w:sz w:val="24"/>
          <w:szCs w:val="24"/>
        </w:rPr>
        <w:t>eliminated</w:t>
      </w:r>
      <w:proofErr w:type="gramEnd"/>
    </w:p>
    <w:p w14:paraId="555C38CD" w14:textId="77777777" w:rsidR="0075745B" w:rsidRPr="0091377B" w:rsidRDefault="0075745B" w:rsidP="0075745B">
      <w:pPr>
        <w:numPr>
          <w:ilvl w:val="0"/>
          <w:numId w:val="3"/>
        </w:numPr>
        <w:rPr>
          <w:rFonts w:ascii="Arial" w:hAnsi="Arial" w:cs="Arial"/>
          <w:sz w:val="24"/>
          <w:szCs w:val="24"/>
        </w:rPr>
      </w:pPr>
      <w:r w:rsidRPr="0091377B">
        <w:rPr>
          <w:rFonts w:ascii="Arial" w:hAnsi="Arial" w:cs="Arial"/>
          <w:sz w:val="24"/>
          <w:szCs w:val="24"/>
        </w:rPr>
        <w:t>Examples: reduced repeat collections / testing, contaminated collections (urines, respiratory samples and blood cultures)</w:t>
      </w:r>
    </w:p>
    <w:p w14:paraId="4DFC03C9" w14:textId="77777777" w:rsidR="0075745B" w:rsidRPr="0091377B" w:rsidRDefault="0075745B" w:rsidP="0075745B">
      <w:pPr>
        <w:ind w:left="2160"/>
        <w:rPr>
          <w:rFonts w:ascii="Arial" w:hAnsi="Arial" w:cs="Arial"/>
          <w:sz w:val="24"/>
          <w:szCs w:val="24"/>
        </w:rPr>
      </w:pPr>
    </w:p>
    <w:p w14:paraId="582A24C3"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Data Analytics</w:t>
      </w:r>
      <w:r w:rsidRPr="0091377B">
        <w:rPr>
          <w:rFonts w:ascii="Arial" w:hAnsi="Arial" w:cs="Arial"/>
          <w:sz w:val="24"/>
          <w:szCs w:val="24"/>
        </w:rPr>
        <w:t xml:space="preserve">: Leveraging data analytics can provide insights into operational efficiency and patient outcomes, leading to informed financial decisions. Clinical labs can analyze testing trends, turnaround times, and resource utilization to </w:t>
      </w:r>
      <w:r w:rsidRPr="0091377B">
        <w:rPr>
          <w:rFonts w:ascii="Arial" w:hAnsi="Arial" w:cs="Arial"/>
          <w:sz w:val="24"/>
          <w:szCs w:val="24"/>
        </w:rPr>
        <w:lastRenderedPageBreak/>
        <w:t>identify areas for improvement and cost savings. By using data-driven approaches, labs can optimize processes and demonstrate their value through measurable outcomes.</w:t>
      </w:r>
    </w:p>
    <w:p w14:paraId="63D13883"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Compliance and Risk Management</w:t>
      </w:r>
      <w:r w:rsidRPr="0091377B">
        <w:rPr>
          <w:rFonts w:ascii="Arial" w:hAnsi="Arial" w:cs="Arial"/>
          <w:sz w:val="24"/>
          <w:szCs w:val="24"/>
        </w:rPr>
        <w:t>: Ensuring compliance with regulations and managing risks effectively are crucial for maintaining financial stability. Clinical labs must stay updated on changing regulatory requirements and implement robust risk management strategies to mitigate financial liabilities. Advocating for compliance and risk management demonstrates the lab's commitment to ethical practices and long-term sustainability.</w:t>
      </w:r>
    </w:p>
    <w:p w14:paraId="6C71D41A"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Investment in Technology</w:t>
      </w:r>
      <w:r w:rsidRPr="0091377B">
        <w:rPr>
          <w:rFonts w:ascii="Arial" w:hAnsi="Arial" w:cs="Arial"/>
          <w:sz w:val="24"/>
          <w:szCs w:val="24"/>
        </w:rPr>
        <w:t>: Investing in innovative technology can improve efficiency, accuracy, and scalability in clinical lab operations. While initial investments may be significant, modernizing technology infrastructure can lead to long-term cost savings and competitive advantages. Advocating for strategic technology investments demonstrates the lab's forward-thinking approach and readiness to adapt to evolving industry trends.</w:t>
      </w:r>
    </w:p>
    <w:p w14:paraId="65E2D378" w14:textId="77777777" w:rsidR="0075745B" w:rsidRPr="0091377B" w:rsidRDefault="0075745B" w:rsidP="0075745B">
      <w:pPr>
        <w:numPr>
          <w:ilvl w:val="0"/>
          <w:numId w:val="2"/>
        </w:numPr>
        <w:rPr>
          <w:rFonts w:ascii="Arial" w:hAnsi="Arial" w:cs="Arial"/>
          <w:sz w:val="24"/>
          <w:szCs w:val="24"/>
        </w:rPr>
      </w:pPr>
      <w:r w:rsidRPr="0091377B">
        <w:rPr>
          <w:rFonts w:ascii="Arial" w:hAnsi="Arial" w:cs="Arial"/>
          <w:b/>
          <w:sz w:val="24"/>
          <w:szCs w:val="24"/>
        </w:rPr>
        <w:t>Communication and Stakeholder Engagement</w:t>
      </w:r>
      <w:r w:rsidRPr="0091377B">
        <w:rPr>
          <w:rFonts w:ascii="Arial" w:hAnsi="Arial" w:cs="Arial"/>
          <w:sz w:val="24"/>
          <w:szCs w:val="24"/>
        </w:rPr>
        <w:t>: Effective communication with stakeholders, including healthcare providers, patients, payers, and regulators, is essential for advocating the value of clinical lab services. Labs can engage with stakeholders through transparent reporting, educational initiatives, and collaborative partnerships to demonstrate their contribution to healthcare delivery and patient outcomes.</w:t>
      </w:r>
    </w:p>
    <w:p w14:paraId="49D77D55" w14:textId="77777777" w:rsidR="0075745B" w:rsidRPr="0091377B" w:rsidRDefault="0075745B" w:rsidP="0075745B">
      <w:pPr>
        <w:rPr>
          <w:rFonts w:ascii="Arial" w:hAnsi="Arial" w:cs="Arial"/>
          <w:sz w:val="24"/>
          <w:szCs w:val="24"/>
        </w:rPr>
      </w:pPr>
      <w:r w:rsidRPr="0091377B">
        <w:rPr>
          <w:rFonts w:ascii="Arial" w:hAnsi="Arial" w:cs="Arial"/>
          <w:sz w:val="24"/>
          <w:szCs w:val="24"/>
        </w:rPr>
        <w:t>By focusing on these aspects of clinical Lab Finance and advocating for them, labs can elevate their role within the healthcare ecosystem, positioning themselves as valuable contributors to patient care and overall healthcare outcomes.</w:t>
      </w:r>
    </w:p>
    <w:p w14:paraId="6AEFFE71" w14:textId="77777777" w:rsidR="0075745B" w:rsidRPr="0091377B" w:rsidRDefault="0075745B" w:rsidP="0075745B">
      <w:pPr>
        <w:rPr>
          <w:rFonts w:ascii="Arial" w:hAnsi="Arial" w:cs="Arial"/>
          <w:sz w:val="24"/>
          <w:szCs w:val="24"/>
        </w:rPr>
      </w:pPr>
    </w:p>
    <w:p w14:paraId="39A057BB" w14:textId="6341A76B" w:rsidR="00E35CCA" w:rsidRPr="0075745B" w:rsidRDefault="00E35CCA" w:rsidP="0075745B"/>
    <w:sectPr w:rsidR="00E35CCA" w:rsidRPr="0075745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FF26" w14:textId="77777777" w:rsidR="004C156C" w:rsidRDefault="004C156C">
      <w:pPr>
        <w:spacing w:after="0" w:line="240" w:lineRule="auto"/>
      </w:pPr>
      <w:r>
        <w:separator/>
      </w:r>
    </w:p>
  </w:endnote>
  <w:endnote w:type="continuationSeparator" w:id="0">
    <w:p w14:paraId="09B9892D" w14:textId="77777777" w:rsidR="004C156C" w:rsidRDefault="004C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717D" w14:textId="77777777" w:rsidR="00E35CCA" w:rsidRPr="003D3F70" w:rsidRDefault="00830B3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D3F70">
      <w:rPr>
        <w:rFonts w:ascii="Arial" w:eastAsia="Arial" w:hAnsi="Arial" w:cs="Arial"/>
        <w:color w:val="000000"/>
        <w:sz w:val="20"/>
        <w:szCs w:val="20"/>
        <w:highlight w:val="white"/>
      </w:rPr>
      <w:t>T</w:t>
    </w:r>
    <w:r w:rsidRPr="003D3F70">
      <w:rPr>
        <w:rFonts w:ascii="Arial" w:hAnsi="Arial" w:cs="Arial"/>
        <w:color w:val="000000"/>
        <w:sz w:val="20"/>
        <w:szCs w:val="20"/>
        <w:highlight w:val="white"/>
      </w:rPr>
      <w: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p>
  <w:p w14:paraId="6362C085" w14:textId="77777777" w:rsidR="00E35CCA" w:rsidRDefault="00E35C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A462" w14:textId="77777777" w:rsidR="004C156C" w:rsidRDefault="004C156C">
      <w:pPr>
        <w:spacing w:after="0" w:line="240" w:lineRule="auto"/>
      </w:pPr>
      <w:r>
        <w:separator/>
      </w:r>
    </w:p>
  </w:footnote>
  <w:footnote w:type="continuationSeparator" w:id="0">
    <w:p w14:paraId="0857A1F8" w14:textId="77777777" w:rsidR="004C156C" w:rsidRDefault="004C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D3081"/>
    <w:multiLevelType w:val="multilevel"/>
    <w:tmpl w:val="F7CE52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B9E6B3D"/>
    <w:multiLevelType w:val="multilevel"/>
    <w:tmpl w:val="AD2C205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EF42AF6"/>
    <w:multiLevelType w:val="multilevel"/>
    <w:tmpl w:val="D9682D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293563972">
    <w:abstractNumId w:val="1"/>
  </w:num>
  <w:num w:numId="2" w16cid:durableId="293560119">
    <w:abstractNumId w:val="0"/>
  </w:num>
  <w:num w:numId="3" w16cid:durableId="203005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CA"/>
    <w:rsid w:val="0000622A"/>
    <w:rsid w:val="001A2E79"/>
    <w:rsid w:val="001A3C29"/>
    <w:rsid w:val="00214AB2"/>
    <w:rsid w:val="003D3F70"/>
    <w:rsid w:val="004C156C"/>
    <w:rsid w:val="0075745B"/>
    <w:rsid w:val="00830B3E"/>
    <w:rsid w:val="00C74516"/>
    <w:rsid w:val="00DB29E1"/>
    <w:rsid w:val="00E3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B639"/>
  <w15:docId w15:val="{0CE5E575-E850-4EDD-BA41-C50BA0BC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1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62"/>
  </w:style>
  <w:style w:type="paragraph" w:styleId="Footer">
    <w:name w:val="footer"/>
    <w:basedOn w:val="Normal"/>
    <w:link w:val="FooterChar"/>
    <w:uiPriority w:val="99"/>
    <w:unhideWhenUsed/>
    <w:rsid w:val="0053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6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my0jJtUq2pfCNitIsmIzrZybQ==">CgMxLjAyCGguZ2pkZ3hzMg5oLjI0bXlmbXQyY3NhdjIOaC5mcDZ6aTJqZnlyZDIyDmguYmRhM3JuM2xjeDNtOAByITFBT3RvT0RiZlNIR19ncEFMSVFYUXNKUjRJRDRDTF9RNQ==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 Debby</dc:creator>
  <cp:lastModifiedBy>Sabina Pacula-Cwanek</cp:lastModifiedBy>
  <cp:revision>2</cp:revision>
  <dcterms:created xsi:type="dcterms:W3CDTF">2024-03-14T19:51:00Z</dcterms:created>
  <dcterms:modified xsi:type="dcterms:W3CDTF">2024-03-14T19:51:00Z</dcterms:modified>
</cp:coreProperties>
</file>