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4472c4"/>
          <w:sz w:val="28"/>
          <w:szCs w:val="28"/>
        </w:rPr>
      </w:pPr>
      <w:r w:rsidDel="00000000" w:rsidR="00000000" w:rsidRPr="00000000">
        <w:rPr>
          <w:rFonts w:ascii="Arial" w:cs="Arial" w:eastAsia="Arial" w:hAnsi="Arial"/>
          <w:b w:val="1"/>
          <w:color w:val="4472c4"/>
          <w:sz w:val="28"/>
          <w:szCs w:val="28"/>
          <w:rtl w:val="0"/>
        </w:rPr>
        <w:t xml:space="preserve">Using Lab Finance to Advocate for Equipment and Staff</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Advocating for equipment and staff in a clinical lab requires a strategic approach that effectively communicates the financial implications and benefits to    decision-makers. </w:t>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Several financial tools can be utilized for this purpose:</w:t>
      </w:r>
    </w:p>
    <w:p w:rsidR="00000000" w:rsidDel="00000000" w:rsidP="00000000" w:rsidRDefault="00000000" w:rsidRPr="00000000" w14:paraId="00000004">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Cost-Benefit Analysis (CBA)</w:t>
      </w:r>
      <w:r w:rsidDel="00000000" w:rsidR="00000000" w:rsidRPr="00000000">
        <w:rPr>
          <w:rFonts w:ascii="Arial" w:cs="Arial" w:eastAsia="Arial" w:hAnsi="Arial"/>
          <w:sz w:val="24"/>
          <w:szCs w:val="24"/>
          <w:rtl w:val="0"/>
        </w:rPr>
        <w:t xml:space="preserve">: CBA compares the costs of acquiring new equipment or hiring additional staff with the expected benefits or returns on investment. It quantifies both the financial and non-financial advantages, such as improved efficiency, reduced turnaround time, or enhanced patient care. Presenting a comprehensive CBA can help decision-makers understand the financial rationale behind the proposed investments.</w:t>
      </w:r>
    </w:p>
    <w:p w:rsidR="00000000" w:rsidDel="00000000" w:rsidP="00000000" w:rsidRDefault="00000000" w:rsidRPr="00000000" w14:paraId="00000005">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Return on Investment (ROI) Analysis</w:t>
      </w:r>
      <w:r w:rsidDel="00000000" w:rsidR="00000000" w:rsidRPr="00000000">
        <w:rPr>
          <w:rFonts w:ascii="Arial" w:cs="Arial" w:eastAsia="Arial" w:hAnsi="Arial"/>
          <w:sz w:val="24"/>
          <w:szCs w:val="24"/>
          <w:rtl w:val="0"/>
        </w:rPr>
        <w:t xml:space="preserve">: ROI analysis evaluates the financial returns generated from a particular investment relative to its cost. By estimating the potential revenue increase or cost savings resulting from new equipment or additional staff, ROI analysis demonstrates the financial impact over a specified period. Highlighting a favorable ROI can strengthen the case for investing in equipment and staff.</w:t>
      </w:r>
    </w:p>
    <w:p w:rsidR="00000000" w:rsidDel="00000000" w:rsidP="00000000" w:rsidRDefault="00000000" w:rsidRPr="00000000" w14:paraId="00000006">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Budget Impact Analysis (BIA)</w:t>
      </w:r>
      <w:r w:rsidDel="00000000" w:rsidR="00000000" w:rsidRPr="00000000">
        <w:rPr>
          <w:rFonts w:ascii="Arial" w:cs="Arial" w:eastAsia="Arial" w:hAnsi="Arial"/>
          <w:sz w:val="24"/>
          <w:szCs w:val="24"/>
          <w:rtl w:val="0"/>
        </w:rPr>
        <w:t xml:space="preserve">: BIA assesses the financial implications of implementing a specific intervention or change within the context of the organization's budget. It considers both direct costs (e.g., equipment purchase, staff salaries) and indirect costs (e.g., training, maintenance) associated with the proposed investment. Providing a detailed BIA helps decision-makers evaluate the affordability and feasibility of the proposed initiatives within the existing budget constraints.</w:t>
      </w:r>
    </w:p>
    <w:p w:rsidR="00000000" w:rsidDel="00000000" w:rsidP="00000000" w:rsidRDefault="00000000" w:rsidRPr="00000000" w14:paraId="00000007">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Financial Forecasting</w:t>
      </w:r>
      <w:r w:rsidDel="00000000" w:rsidR="00000000" w:rsidRPr="00000000">
        <w:rPr>
          <w:rFonts w:ascii="Arial" w:cs="Arial" w:eastAsia="Arial" w:hAnsi="Arial"/>
          <w:sz w:val="24"/>
          <w:szCs w:val="24"/>
          <w:rtl w:val="0"/>
        </w:rPr>
        <w:t xml:space="preserve">: Financial forecasting involves predicting future revenues, expenses, and cash flows based on various scenarios and assumptions. By forecasting the financial outcomes associated with acquiring new equipment or hiring additional staff, decision-makers can gain insights into the long-term financial sustainability and viability of the proposed investments. Accurate financial forecasts can instill confidence in the decision-making process.</w:t>
      </w:r>
    </w:p>
    <w:p w:rsidR="00000000" w:rsidDel="00000000" w:rsidP="00000000" w:rsidRDefault="00000000" w:rsidRPr="00000000" w14:paraId="00000008">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Total Cost of Ownership (TCO) Analysis</w:t>
      </w:r>
      <w:r w:rsidDel="00000000" w:rsidR="00000000" w:rsidRPr="00000000">
        <w:rPr>
          <w:rFonts w:ascii="Arial" w:cs="Arial" w:eastAsia="Arial" w:hAnsi="Arial"/>
          <w:sz w:val="24"/>
          <w:szCs w:val="24"/>
          <w:rtl w:val="0"/>
        </w:rPr>
        <w:t xml:space="preserve">: TCO analysis evaluates the total cost of owning and operating equipment over its entire lifecycle, including acquisition, installation, maintenance, and disposal costs. It provides a comprehensive assessment of the financial implications beyond the initial purchase price. Presenting a TCO analysis helps decision-makers understand the full financial commitment involved in acquiring new equipment and make informed decisions.</w:t>
      </w:r>
    </w:p>
    <w:p w:rsidR="00000000" w:rsidDel="00000000" w:rsidP="00000000" w:rsidRDefault="00000000" w:rsidRPr="00000000" w14:paraId="00000009">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Benchmarking/Productivity</w:t>
      </w:r>
      <w:r w:rsidDel="00000000" w:rsidR="00000000" w:rsidRPr="00000000">
        <w:rPr>
          <w:rFonts w:ascii="Arial" w:cs="Arial" w:eastAsia="Arial" w:hAnsi="Arial"/>
          <w:sz w:val="24"/>
          <w:szCs w:val="24"/>
          <w:rtl w:val="0"/>
        </w:rPr>
        <w:t xml:space="preserve">: Benchmarking involves comparing the financial performance and resource utilization of the clinical lab against industry standards or peer organizations. By benchmarking key financial metrics such as equipment utilization, staff productivity, and operational costs, decision-makers can identify areas for improvement and justify investments in equipment and staff based on performance gaps or opportunities for optimization.</w:t>
      </w:r>
    </w:p>
    <w:p w:rsidR="00000000" w:rsidDel="00000000" w:rsidP="00000000" w:rsidRDefault="00000000" w:rsidRPr="00000000" w14:paraId="0000000A">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Risk Analysis</w:t>
      </w:r>
      <w:r w:rsidDel="00000000" w:rsidR="00000000" w:rsidRPr="00000000">
        <w:rPr>
          <w:rFonts w:ascii="Arial" w:cs="Arial" w:eastAsia="Arial" w:hAnsi="Arial"/>
          <w:sz w:val="24"/>
          <w:szCs w:val="24"/>
          <w:rtl w:val="0"/>
        </w:rPr>
        <w:t xml:space="preserve">: Risk analysis evaluates the potential financial risks associated with the proposed investments, such as technology obsolescence, regulatory compliance, or staff turnover. By identifying and quantifying these risks, decision-makers can implement risk mitigation strategies and safeguard against potential financial losses. Presenting a thorough risk analysis demonstrates proactive risk management and enhances the credibility of the investment proposal.</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By leveraging these financial tools effectively, clinical lab stakeholders can advocate for equipment and staff investments with compelling financial arguments and strategic insights, ultimately enhancing the lab's capabilities and performance.</w:t>
      </w:r>
    </w:p>
    <w:p w:rsidR="00000000" w:rsidDel="00000000" w:rsidP="00000000" w:rsidRDefault="00000000" w:rsidRPr="00000000" w14:paraId="0000000C">
      <w:pPr>
        <w:rPr>
          <w:rFonts w:ascii="Arial" w:cs="Arial" w:eastAsia="Arial" w:hAnsi="Arial"/>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680"/>
        <w:tab w:val="right" w:leader="none" w:pos="9360"/>
      </w:tabs>
      <w:spacing w:after="0" w:line="240" w:lineRule="auto"/>
      <w:rPr/>
    </w:pPr>
    <w:r w:rsidDel="00000000" w:rsidR="00000000" w:rsidRPr="00000000">
      <w:rPr>
        <w:rFonts w:ascii="Arial" w:cs="Arial" w:eastAsia="Arial" w:hAnsi="Arial"/>
        <w:sz w:val="20"/>
        <w:szCs w:val="20"/>
        <w:highlight w:val="white"/>
        <w:rtl w:val="0"/>
      </w:rPr>
      <w:t xml:space="preserve">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y/eSdiUyphg79+4Wkjrss4XyzQ==">CgMxLjA4AHIhMXVVYzRoSTU3LXQ1ejI1UUppc3hDTENpVlE2ZzhvM2VN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2024-03-12T20:25:00Z</dcterms:created>
  <dc:creator>Abumuhor, Ihab A</dc:creator>
</cp:coreProperties>
</file>