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rFonts w:ascii="Arial" w:cs="Arial" w:eastAsia="Arial" w:hAnsi="Arial"/>
          <w:color w:val="4472c4"/>
        </w:rPr>
      </w:pPr>
      <w:bookmarkStart w:colFirst="0" w:colLast="0" w:name="_heading=h.iwuhywt3mboz" w:id="0"/>
      <w:bookmarkEnd w:id="0"/>
      <w:r w:rsidDel="00000000" w:rsidR="00000000" w:rsidRPr="00000000">
        <w:rPr>
          <w:rFonts w:ascii="Arial" w:cs="Arial" w:eastAsia="Arial" w:hAnsi="Arial"/>
          <w:color w:val="4472c4"/>
          <w:rtl w:val="0"/>
        </w:rPr>
        <w:t xml:space="preserve">Test Utilization to Advocate for Your Lab</w:t>
      </w:r>
    </w:p>
    <w:p w:rsidR="00000000" w:rsidDel="00000000" w:rsidP="00000000" w:rsidRDefault="00000000" w:rsidRPr="00000000" w14:paraId="00000002">
      <w:pPr>
        <w:rPr>
          <w:rFonts w:ascii="Arial" w:cs="Arial" w:eastAsia="Arial" w:hAnsi="Arial"/>
        </w:rPr>
      </w:pPr>
      <w:r w:rsidDel="00000000" w:rsidR="00000000" w:rsidRPr="00000000">
        <w:rPr>
          <w:rFonts w:ascii="Arial" w:cs="Arial" w:eastAsia="Arial" w:hAnsi="Arial"/>
          <w:rtl w:val="0"/>
        </w:rPr>
        <w:t xml:space="preserve">Test utilization refers to the appropriate and effective use of laboratory tests to optimize patient care. Advocating for the clinical laboratory through test utilization involves demonstrating the value and impact of thoughtful test ordering and result interpretation. By advocating for the clinical laboratory through test utilization, you position the laboratory as a key partner in delivering high-quality, cost-effective healthcare. Emphasizing the importance of evidence-based testing decisions and the impact on patient outcomes strengthens the laboratory's role within the broader healthcare ecosystem. </w:t>
      </w:r>
    </w:p>
    <w:p w:rsidR="00000000" w:rsidDel="00000000" w:rsidP="00000000" w:rsidRDefault="00000000" w:rsidRPr="00000000" w14:paraId="00000003">
      <w:pPr>
        <w:rPr>
          <w:rFonts w:ascii="Arial" w:cs="Arial" w:eastAsia="Arial" w:hAnsi="Arial"/>
          <w:b w:val="1"/>
          <w:color w:val="4472c4"/>
          <w:sz w:val="28"/>
          <w:szCs w:val="28"/>
        </w:rPr>
      </w:pPr>
      <w:r w:rsidDel="00000000" w:rsidR="00000000" w:rsidRPr="00000000">
        <w:rPr>
          <w:rFonts w:ascii="Arial" w:cs="Arial" w:eastAsia="Arial" w:hAnsi="Arial"/>
          <w:b w:val="1"/>
          <w:color w:val="4472c4"/>
          <w:sz w:val="28"/>
          <w:szCs w:val="28"/>
          <w:rtl w:val="0"/>
        </w:rPr>
        <w:t xml:space="preserve">Here are several strategies to leverage test utilization for advocacy:</w:t>
      </w:r>
    </w:p>
    <w:p w:rsidR="00000000" w:rsidDel="00000000" w:rsidP="00000000" w:rsidRDefault="00000000" w:rsidRPr="00000000" w14:paraId="00000004">
      <w:pPr>
        <w:rPr>
          <w:rFonts w:ascii="Arial" w:cs="Arial" w:eastAsia="Arial" w:hAnsi="Arial"/>
        </w:rPr>
      </w:pPr>
      <w:r w:rsidDel="00000000" w:rsidR="00000000" w:rsidRPr="00000000">
        <w:rPr>
          <w:rFonts w:ascii="Arial" w:cs="Arial" w:eastAsia="Arial" w:hAnsi="Arial"/>
          <w:b w:val="1"/>
          <w:rtl w:val="0"/>
        </w:rPr>
        <w:t xml:space="preserve">Cost-Effectiveness</w:t>
      </w:r>
      <w:r w:rsidDel="00000000" w:rsidR="00000000" w:rsidRPr="00000000">
        <w:rPr>
          <w:rtl w:val="0"/>
        </w:rPr>
      </w:r>
    </w:p>
    <w:p w:rsidR="00000000" w:rsidDel="00000000" w:rsidP="00000000" w:rsidRDefault="00000000" w:rsidRPr="00000000" w14:paraId="00000005">
      <w:pPr>
        <w:rPr>
          <w:rFonts w:ascii="Arial" w:cs="Arial" w:eastAsia="Arial" w:hAnsi="Arial"/>
        </w:rPr>
      </w:pPr>
      <w:r w:rsidDel="00000000" w:rsidR="00000000" w:rsidRPr="00000000">
        <w:rPr>
          <w:rFonts w:ascii="Arial" w:cs="Arial" w:eastAsia="Arial" w:hAnsi="Arial"/>
          <w:rtl w:val="0"/>
        </w:rPr>
        <w:t xml:space="preserve">Emphasize the role of the clinical laboratory in promoting cost-effective healthcare. By optimizing test utilization, unnecessary testing can be reduced, leading to cost savings for both patients and healthcare systems.</w:t>
      </w:r>
    </w:p>
    <w:p w:rsidR="00000000" w:rsidDel="00000000" w:rsidP="00000000" w:rsidRDefault="00000000" w:rsidRPr="00000000" w14:paraId="00000006">
      <w:pPr>
        <w:rPr>
          <w:rFonts w:ascii="Arial" w:cs="Arial" w:eastAsia="Arial" w:hAnsi="Arial"/>
          <w:b w:val="1"/>
        </w:rPr>
      </w:pPr>
      <w:r w:rsidDel="00000000" w:rsidR="00000000" w:rsidRPr="00000000">
        <w:rPr>
          <w:rFonts w:ascii="Arial" w:cs="Arial" w:eastAsia="Arial" w:hAnsi="Arial"/>
          <w:b w:val="1"/>
          <w:rtl w:val="0"/>
        </w:rPr>
        <w:t xml:space="preserve">Insurance Denials</w:t>
      </w:r>
    </w:p>
    <w:p w:rsidR="00000000" w:rsidDel="00000000" w:rsidP="00000000" w:rsidRDefault="00000000" w:rsidRPr="00000000" w14:paraId="00000007">
      <w:pPr>
        <w:rPr>
          <w:rFonts w:ascii="Arial" w:cs="Arial" w:eastAsia="Arial" w:hAnsi="Arial"/>
          <w:u w:val="single"/>
        </w:rPr>
      </w:pPr>
      <w:r w:rsidDel="00000000" w:rsidR="00000000" w:rsidRPr="00000000">
        <w:rPr>
          <w:rFonts w:ascii="Arial" w:cs="Arial" w:eastAsia="Arial" w:hAnsi="Arial"/>
          <w:rtl w:val="0"/>
        </w:rPr>
        <w:t xml:space="preserve">Work with finance to identify tests with the highest denial rate i.e. Vitamin D</w:t>
      </w:r>
      <w:r w:rsidDel="00000000" w:rsidR="00000000" w:rsidRPr="00000000">
        <w:rPr>
          <w:rtl w:val="0"/>
        </w:rPr>
      </w:r>
    </w:p>
    <w:p w:rsidR="00000000" w:rsidDel="00000000" w:rsidP="00000000" w:rsidRDefault="00000000" w:rsidRPr="00000000" w14:paraId="00000008">
      <w:pPr>
        <w:rPr>
          <w:rFonts w:ascii="Arial" w:cs="Arial" w:eastAsia="Arial" w:hAnsi="Arial"/>
        </w:rPr>
      </w:pPr>
      <w:r w:rsidDel="00000000" w:rsidR="00000000" w:rsidRPr="00000000">
        <w:rPr>
          <w:rFonts w:ascii="Arial" w:cs="Arial" w:eastAsia="Arial" w:hAnsi="Arial"/>
          <w:b w:val="1"/>
          <w:rtl w:val="0"/>
        </w:rPr>
        <w:t xml:space="preserve">Educational Initiatives</w:t>
      </w:r>
      <w:r w:rsidDel="00000000" w:rsidR="00000000" w:rsidRPr="00000000">
        <w:rPr>
          <w:rtl w:val="0"/>
        </w:rPr>
      </w:r>
    </w:p>
    <w:p w:rsidR="00000000" w:rsidDel="00000000" w:rsidP="00000000" w:rsidRDefault="00000000" w:rsidRPr="00000000" w14:paraId="00000009">
      <w:pPr>
        <w:rPr>
          <w:rFonts w:ascii="Arial" w:cs="Arial" w:eastAsia="Arial" w:hAnsi="Arial"/>
        </w:rPr>
      </w:pPr>
      <w:r w:rsidDel="00000000" w:rsidR="00000000" w:rsidRPr="00000000">
        <w:rPr>
          <w:rFonts w:ascii="Arial" w:cs="Arial" w:eastAsia="Arial" w:hAnsi="Arial"/>
          <w:rtl w:val="0"/>
        </w:rPr>
        <w:t xml:space="preserve">Implement educational programs for healthcare providers to enhance their understanding of appropriate test ordering and interpretation. Showcase the laboratory's role in providing educational resources to support evidence-based testing decisions.</w:t>
      </w:r>
    </w:p>
    <w:p w:rsidR="00000000" w:rsidDel="00000000" w:rsidP="00000000" w:rsidRDefault="00000000" w:rsidRPr="00000000" w14:paraId="0000000A">
      <w:pPr>
        <w:rPr>
          <w:rFonts w:ascii="Arial" w:cs="Arial" w:eastAsia="Arial" w:hAnsi="Arial"/>
        </w:rPr>
      </w:pPr>
      <w:r w:rsidDel="00000000" w:rsidR="00000000" w:rsidRPr="00000000">
        <w:rPr>
          <w:rFonts w:ascii="Arial" w:cs="Arial" w:eastAsia="Arial" w:hAnsi="Arial"/>
          <w:b w:val="1"/>
          <w:rtl w:val="0"/>
        </w:rPr>
        <w:t xml:space="preserve">Clinical Decision Support</w:t>
      </w:r>
      <w:r w:rsidDel="00000000" w:rsidR="00000000" w:rsidRPr="00000000">
        <w:rPr>
          <w:rtl w:val="0"/>
        </w:rPr>
      </w:r>
    </w:p>
    <w:p w:rsidR="00000000" w:rsidDel="00000000" w:rsidP="00000000" w:rsidRDefault="00000000" w:rsidRPr="00000000" w14:paraId="0000000B">
      <w:pPr>
        <w:rPr>
          <w:rFonts w:ascii="Arial" w:cs="Arial" w:eastAsia="Arial" w:hAnsi="Arial"/>
        </w:rPr>
      </w:pPr>
      <w:r w:rsidDel="00000000" w:rsidR="00000000" w:rsidRPr="00000000">
        <w:rPr>
          <w:rFonts w:ascii="Arial" w:cs="Arial" w:eastAsia="Arial" w:hAnsi="Arial"/>
          <w:rtl w:val="0"/>
        </w:rPr>
        <w:t xml:space="preserve">Advocate for the integration of clinical decision support tools that guide healthcare providers in selecting the most appropriate tests based on clinical indications. Demonstrating the effectiveness of such tools in improving test utilization reinforces the value of the clinical laboratory.</w:t>
      </w:r>
    </w:p>
    <w:p w:rsidR="00000000" w:rsidDel="00000000" w:rsidP="00000000" w:rsidRDefault="00000000" w:rsidRPr="00000000" w14:paraId="0000000C">
      <w:pPr>
        <w:rPr>
          <w:rFonts w:ascii="Arial" w:cs="Arial" w:eastAsia="Arial" w:hAnsi="Arial"/>
        </w:rPr>
      </w:pPr>
      <w:r w:rsidDel="00000000" w:rsidR="00000000" w:rsidRPr="00000000">
        <w:rPr>
          <w:rFonts w:ascii="Arial" w:cs="Arial" w:eastAsia="Arial" w:hAnsi="Arial"/>
          <w:b w:val="1"/>
          <w:rtl w:val="0"/>
        </w:rPr>
        <w:t xml:space="preserve">Reducing Over-Testing and Under-Testing</w:t>
      </w:r>
      <w:r w:rsidDel="00000000" w:rsidR="00000000" w:rsidRPr="00000000">
        <w:rPr>
          <w:rtl w:val="0"/>
        </w:rPr>
      </w:r>
    </w:p>
    <w:p w:rsidR="00000000" w:rsidDel="00000000" w:rsidP="00000000" w:rsidRDefault="00000000" w:rsidRPr="00000000" w14:paraId="0000000D">
      <w:pPr>
        <w:rPr>
          <w:rFonts w:ascii="Arial" w:cs="Arial" w:eastAsia="Arial" w:hAnsi="Arial"/>
        </w:rPr>
      </w:pPr>
      <w:r w:rsidDel="00000000" w:rsidR="00000000" w:rsidRPr="00000000">
        <w:rPr>
          <w:rFonts w:ascii="Arial" w:cs="Arial" w:eastAsia="Arial" w:hAnsi="Arial"/>
          <w:rtl w:val="0"/>
        </w:rPr>
        <w:t xml:space="preserve">Highlight efforts to minimize both over-testing and under-testing. Over-testing can lead to unnecessary costs and potential harm, while under-testing may result in missed diagnoses. Showcase the laboratory's contributions to achieving a balanced and patient-centered approach.</w:t>
      </w:r>
    </w:p>
    <w:p w:rsidR="00000000" w:rsidDel="00000000" w:rsidP="00000000" w:rsidRDefault="00000000" w:rsidRPr="00000000" w14:paraId="0000000E">
      <w:pPr>
        <w:rPr>
          <w:rFonts w:ascii="Arial" w:cs="Arial" w:eastAsia="Arial" w:hAnsi="Arial"/>
        </w:rPr>
      </w:pPr>
      <w:r w:rsidDel="00000000" w:rsidR="00000000" w:rsidRPr="00000000">
        <w:rPr>
          <w:rFonts w:ascii="Arial" w:cs="Arial" w:eastAsia="Arial" w:hAnsi="Arial"/>
          <w:b w:val="1"/>
          <w:rtl w:val="0"/>
        </w:rPr>
        <w:t xml:space="preserve">Quality Improvement Initiatives</w:t>
      </w:r>
      <w:r w:rsidDel="00000000" w:rsidR="00000000" w:rsidRPr="00000000">
        <w:rPr>
          <w:rtl w:val="0"/>
        </w:rPr>
      </w:r>
    </w:p>
    <w:p w:rsidR="00000000" w:rsidDel="00000000" w:rsidP="00000000" w:rsidRDefault="00000000" w:rsidRPr="00000000" w14:paraId="0000000F">
      <w:pPr>
        <w:rPr>
          <w:rFonts w:ascii="Arial" w:cs="Arial" w:eastAsia="Arial" w:hAnsi="Arial"/>
        </w:rPr>
      </w:pPr>
      <w:r w:rsidDel="00000000" w:rsidR="00000000" w:rsidRPr="00000000">
        <w:rPr>
          <w:rFonts w:ascii="Arial" w:cs="Arial" w:eastAsia="Arial" w:hAnsi="Arial"/>
          <w:rtl w:val="0"/>
        </w:rPr>
        <w:t xml:space="preserve">Showcase quality improvement initiatives aimed at optimizing test utilization. This may involve regular audits, feedback mechanisms, and continuous improvement projects to ensure that testing aligns with best practices and clinical guidelines.</w:t>
      </w:r>
    </w:p>
    <w:p w:rsidR="00000000" w:rsidDel="00000000" w:rsidP="00000000" w:rsidRDefault="00000000" w:rsidRPr="00000000" w14:paraId="00000010">
      <w:pPr>
        <w:rPr>
          <w:rFonts w:ascii="Arial" w:cs="Arial" w:eastAsia="Arial" w:hAnsi="Arial"/>
        </w:rPr>
      </w:pPr>
      <w:r w:rsidDel="00000000" w:rsidR="00000000" w:rsidRPr="00000000">
        <w:rPr>
          <w:rFonts w:ascii="Arial" w:cs="Arial" w:eastAsia="Arial" w:hAnsi="Arial"/>
          <w:b w:val="1"/>
          <w:rtl w:val="0"/>
        </w:rPr>
        <w:t xml:space="preserve">Clinical Guidelines and Protocols</w:t>
      </w:r>
      <w:r w:rsidDel="00000000" w:rsidR="00000000" w:rsidRPr="00000000">
        <w:rPr>
          <w:rtl w:val="0"/>
        </w:rPr>
      </w:r>
    </w:p>
    <w:p w:rsidR="00000000" w:rsidDel="00000000" w:rsidP="00000000" w:rsidRDefault="00000000" w:rsidRPr="00000000" w14:paraId="00000011">
      <w:pPr>
        <w:rPr>
          <w:rFonts w:ascii="Arial" w:cs="Arial" w:eastAsia="Arial" w:hAnsi="Arial"/>
        </w:rPr>
      </w:pPr>
      <w:r w:rsidDel="00000000" w:rsidR="00000000" w:rsidRPr="00000000">
        <w:rPr>
          <w:rFonts w:ascii="Arial" w:cs="Arial" w:eastAsia="Arial" w:hAnsi="Arial"/>
          <w:rtl w:val="0"/>
        </w:rPr>
        <w:t xml:space="preserve">Collaborate with healthcare providers to develop and promote adherence to evidence-based clinical guidelines and protocols for test ordering. Illustrate how following established guidelines contributes to improved patient outcomes and resource efficiency.</w:t>
      </w:r>
    </w:p>
    <w:p w:rsidR="00000000" w:rsidDel="00000000" w:rsidP="00000000" w:rsidRDefault="00000000" w:rsidRPr="00000000" w14:paraId="00000012">
      <w:pPr>
        <w:rPr>
          <w:rFonts w:ascii="Arial" w:cs="Arial" w:eastAsia="Arial" w:hAnsi="Arial"/>
        </w:rPr>
      </w:pPr>
      <w:r w:rsidDel="00000000" w:rsidR="00000000" w:rsidRPr="00000000">
        <w:rPr>
          <w:rFonts w:ascii="Arial" w:cs="Arial" w:eastAsia="Arial" w:hAnsi="Arial"/>
          <w:b w:val="1"/>
          <w:rtl w:val="0"/>
        </w:rPr>
        <w:t xml:space="preserve">Customized Test Panels</w:t>
      </w:r>
      <w:r w:rsidDel="00000000" w:rsidR="00000000" w:rsidRPr="00000000">
        <w:rPr>
          <w:rtl w:val="0"/>
        </w:rPr>
      </w:r>
    </w:p>
    <w:p w:rsidR="00000000" w:rsidDel="00000000" w:rsidP="00000000" w:rsidRDefault="00000000" w:rsidRPr="00000000" w14:paraId="00000013">
      <w:pPr>
        <w:rPr>
          <w:rFonts w:ascii="Arial" w:cs="Arial" w:eastAsia="Arial" w:hAnsi="Arial"/>
        </w:rPr>
      </w:pPr>
      <w:r w:rsidDel="00000000" w:rsidR="00000000" w:rsidRPr="00000000">
        <w:rPr>
          <w:rFonts w:ascii="Arial" w:cs="Arial" w:eastAsia="Arial" w:hAnsi="Arial"/>
          <w:rtl w:val="0"/>
        </w:rPr>
        <w:t xml:space="preserve">Offer customized test panels that align with specific clinical scenarios. This can streamline the ordering process for healthcare providers and ensure that relevant tests are included while avoiding unnecessary ones.</w:t>
      </w:r>
    </w:p>
    <w:p w:rsidR="00000000" w:rsidDel="00000000" w:rsidP="00000000" w:rsidRDefault="00000000" w:rsidRPr="00000000" w14:paraId="00000014">
      <w:pPr>
        <w:rPr>
          <w:rFonts w:ascii="Arial" w:cs="Arial" w:eastAsia="Arial" w:hAnsi="Arial"/>
        </w:rPr>
      </w:pPr>
      <w:r w:rsidDel="00000000" w:rsidR="00000000" w:rsidRPr="00000000">
        <w:rPr>
          <w:rFonts w:ascii="Arial" w:cs="Arial" w:eastAsia="Arial" w:hAnsi="Arial"/>
          <w:b w:val="1"/>
          <w:rtl w:val="0"/>
        </w:rPr>
        <w:t xml:space="preserve">Feedback Loops</w:t>
      </w:r>
      <w:r w:rsidDel="00000000" w:rsidR="00000000" w:rsidRPr="00000000">
        <w:rPr>
          <w:rtl w:val="0"/>
        </w:rPr>
      </w:r>
    </w:p>
    <w:p w:rsidR="00000000" w:rsidDel="00000000" w:rsidP="00000000" w:rsidRDefault="00000000" w:rsidRPr="00000000" w14:paraId="00000015">
      <w:pPr>
        <w:rPr>
          <w:rFonts w:ascii="Arial" w:cs="Arial" w:eastAsia="Arial" w:hAnsi="Arial"/>
        </w:rPr>
      </w:pPr>
      <w:r w:rsidDel="00000000" w:rsidR="00000000" w:rsidRPr="00000000">
        <w:rPr>
          <w:rFonts w:ascii="Arial" w:cs="Arial" w:eastAsia="Arial" w:hAnsi="Arial"/>
          <w:rtl w:val="0"/>
        </w:rPr>
        <w:t xml:space="preserve">Establish feedback loops with clinicians to discuss test utilization patterns and explore opportunities for improvement. Open communication channels facilitate collaboration and provide valuable insights for refining testing strategies.</w:t>
      </w:r>
    </w:p>
    <w:p w:rsidR="00000000" w:rsidDel="00000000" w:rsidP="00000000" w:rsidRDefault="00000000" w:rsidRPr="00000000" w14:paraId="00000016">
      <w:pPr>
        <w:rPr>
          <w:rFonts w:ascii="Arial" w:cs="Arial" w:eastAsia="Arial" w:hAnsi="Arial"/>
        </w:rPr>
      </w:pPr>
      <w:r w:rsidDel="00000000" w:rsidR="00000000" w:rsidRPr="00000000">
        <w:rPr>
          <w:rFonts w:ascii="Arial" w:cs="Arial" w:eastAsia="Arial" w:hAnsi="Arial"/>
          <w:b w:val="1"/>
          <w:rtl w:val="0"/>
        </w:rPr>
        <w:t xml:space="preserve">Data Analytics</w:t>
      </w:r>
      <w:r w:rsidDel="00000000" w:rsidR="00000000" w:rsidRPr="00000000">
        <w:rPr>
          <w:rtl w:val="0"/>
        </w:rPr>
      </w:r>
    </w:p>
    <w:p w:rsidR="00000000" w:rsidDel="00000000" w:rsidP="00000000" w:rsidRDefault="00000000" w:rsidRPr="00000000" w14:paraId="00000017">
      <w:pPr>
        <w:rPr>
          <w:rFonts w:ascii="Arial" w:cs="Arial" w:eastAsia="Arial" w:hAnsi="Arial"/>
        </w:rPr>
      </w:pPr>
      <w:r w:rsidDel="00000000" w:rsidR="00000000" w:rsidRPr="00000000">
        <w:rPr>
          <w:rFonts w:ascii="Arial" w:cs="Arial" w:eastAsia="Arial" w:hAnsi="Arial"/>
          <w:rtl w:val="0"/>
        </w:rPr>
        <w:t xml:space="preserve">Utilize data analytics to identify trends and patterns in test utilization. This information can guide discussions on areas for improvement, resource allocation, and the development of targeted interventions to enhance test ordering practices.</w:t>
      </w:r>
    </w:p>
    <w:p w:rsidR="00000000" w:rsidDel="00000000" w:rsidP="00000000" w:rsidRDefault="00000000" w:rsidRPr="00000000" w14:paraId="00000018">
      <w:pPr>
        <w:rPr>
          <w:rFonts w:ascii="Arial" w:cs="Arial" w:eastAsia="Arial" w:hAnsi="Arial"/>
        </w:rPr>
      </w:pPr>
      <w:r w:rsidDel="00000000" w:rsidR="00000000" w:rsidRPr="00000000">
        <w:rPr>
          <w:rFonts w:ascii="Arial" w:cs="Arial" w:eastAsia="Arial" w:hAnsi="Arial"/>
          <w:b w:val="1"/>
          <w:rtl w:val="0"/>
        </w:rPr>
        <w:t xml:space="preserve">Patient-Centered Care</w:t>
      </w:r>
      <w:r w:rsidDel="00000000" w:rsidR="00000000" w:rsidRPr="00000000">
        <w:rPr>
          <w:rtl w:val="0"/>
        </w:rPr>
      </w:r>
    </w:p>
    <w:p w:rsidR="00000000" w:rsidDel="00000000" w:rsidP="00000000" w:rsidRDefault="00000000" w:rsidRPr="00000000" w14:paraId="00000019">
      <w:pPr>
        <w:rPr>
          <w:rFonts w:ascii="Arial" w:cs="Arial" w:eastAsia="Arial" w:hAnsi="Arial"/>
        </w:rPr>
      </w:pPr>
      <w:r w:rsidDel="00000000" w:rsidR="00000000" w:rsidRPr="00000000">
        <w:rPr>
          <w:rFonts w:ascii="Arial" w:cs="Arial" w:eastAsia="Arial" w:hAnsi="Arial"/>
          <w:rtl w:val="0"/>
        </w:rPr>
        <w:t xml:space="preserve">Emphasize the role of test utilization in delivering patient-centered care. Ensuring that tests are ordered judiciously and provide actionable information contributes to a personalized and effective approach to patient management.</w:t>
      </w:r>
    </w:p>
    <w:p w:rsidR="00000000" w:rsidDel="00000000" w:rsidP="00000000" w:rsidRDefault="00000000" w:rsidRPr="00000000" w14:paraId="0000001A">
      <w:pPr>
        <w:rPr>
          <w:rFonts w:ascii="Arial" w:cs="Arial" w:eastAsia="Arial" w:hAnsi="Arial"/>
        </w:rPr>
      </w:pPr>
      <w:r w:rsidDel="00000000" w:rsidR="00000000" w:rsidRPr="00000000">
        <w:rPr>
          <w:rFonts w:ascii="Arial" w:cs="Arial" w:eastAsia="Arial" w:hAnsi="Arial"/>
          <w:b w:val="1"/>
          <w:rtl w:val="0"/>
        </w:rPr>
        <w:t xml:space="preserve">Provider Satisfaction</w:t>
      </w:r>
      <w:r w:rsidDel="00000000" w:rsidR="00000000" w:rsidRPr="00000000">
        <w:rPr>
          <w:rtl w:val="0"/>
        </w:rPr>
      </w:r>
    </w:p>
    <w:p w:rsidR="00000000" w:rsidDel="00000000" w:rsidP="00000000" w:rsidRDefault="00000000" w:rsidRPr="00000000" w14:paraId="0000001B">
      <w:pPr>
        <w:rPr>
          <w:rFonts w:ascii="Arial" w:cs="Arial" w:eastAsia="Arial" w:hAnsi="Arial"/>
        </w:rPr>
      </w:pPr>
      <w:r w:rsidDel="00000000" w:rsidR="00000000" w:rsidRPr="00000000">
        <w:rPr>
          <w:rFonts w:ascii="Arial" w:cs="Arial" w:eastAsia="Arial" w:hAnsi="Arial"/>
          <w:rtl w:val="0"/>
        </w:rPr>
        <w:t xml:space="preserve">Assess provider satisfaction with laboratory services related to test utilization. Positive feedback on the relevance and usefulness of laboratory testing supports the argument for the laboratory's integral role in patient care.</w:t>
      </w:r>
    </w:p>
    <w:p w:rsidR="00000000" w:rsidDel="00000000" w:rsidP="00000000" w:rsidRDefault="00000000" w:rsidRPr="00000000" w14:paraId="0000001C">
      <w:pPr>
        <w:rPr>
          <w:rFonts w:ascii="Arial" w:cs="Arial" w:eastAsia="Arial" w:hAnsi="Arial"/>
        </w:rPr>
      </w:pPr>
      <w:r w:rsidDel="00000000" w:rsidR="00000000" w:rsidRPr="00000000">
        <w:rPr>
          <w:rFonts w:ascii="Arial" w:cs="Arial" w:eastAsia="Arial" w:hAnsi="Arial"/>
          <w:b w:val="1"/>
          <w:rtl w:val="0"/>
        </w:rPr>
        <w:t xml:space="preserve">Outcomes Improvement</w:t>
      </w:r>
      <w:r w:rsidDel="00000000" w:rsidR="00000000" w:rsidRPr="00000000">
        <w:rPr>
          <w:rtl w:val="0"/>
        </w:rPr>
      </w:r>
    </w:p>
    <w:p w:rsidR="00000000" w:rsidDel="00000000" w:rsidP="00000000" w:rsidRDefault="00000000" w:rsidRPr="00000000" w14:paraId="0000001D">
      <w:pPr>
        <w:rPr>
          <w:rFonts w:ascii="Arial" w:cs="Arial" w:eastAsia="Arial" w:hAnsi="Arial"/>
        </w:rPr>
      </w:pPr>
      <w:r w:rsidDel="00000000" w:rsidR="00000000" w:rsidRPr="00000000">
        <w:rPr>
          <w:rFonts w:ascii="Arial" w:cs="Arial" w:eastAsia="Arial" w:hAnsi="Arial"/>
          <w:rtl w:val="0"/>
        </w:rPr>
        <w:t xml:space="preserve">Demonstrate how strategic test utilization contributes to improved patient outcomes. Showcase cases where appropriate testing led to timely diagnosis, targeted treatments, and enhanced overall patient care.</w:t>
      </w:r>
    </w:p>
    <w:p w:rsidR="00000000" w:rsidDel="00000000" w:rsidP="00000000" w:rsidRDefault="00000000" w:rsidRPr="00000000" w14:paraId="0000001E">
      <w:pPr>
        <w:rPr>
          <w:rFonts w:ascii="Arial" w:cs="Arial" w:eastAsia="Arial" w:hAnsi="Arial"/>
        </w:rPr>
      </w:pPr>
      <w:r w:rsidDel="00000000" w:rsidR="00000000" w:rsidRPr="00000000">
        <w:rPr>
          <w:rFonts w:ascii="Arial" w:cs="Arial" w:eastAsia="Arial" w:hAnsi="Arial"/>
          <w:rtl w:val="0"/>
        </w:rPr>
        <w:t xml:space="preserve">.</w:t>
      </w:r>
    </w:p>
    <w:p w:rsidR="00000000" w:rsidDel="00000000" w:rsidP="00000000" w:rsidRDefault="00000000" w:rsidRPr="00000000" w14:paraId="0000001F">
      <w:pPr>
        <w:rPr>
          <w:rFonts w:ascii="Arial" w:cs="Arial" w:eastAsia="Arial" w:hAnsi="Arial"/>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160" w:line="259"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80" w:lineRule="auto"/>
    </w:pPr>
    <w:rPr>
      <w:b w:val="1"/>
      <w:sz w:val="48"/>
      <w:szCs w:val="48"/>
    </w:rPr>
  </w:style>
  <w:style w:type="paragraph" w:styleId="Heading2">
    <w:name w:val="heading 2"/>
    <w:basedOn w:val="Normal"/>
    <w:next w:val="Normal"/>
    <w:pPr>
      <w:keepNext w:val="1"/>
      <w:keepLines w:val="1"/>
      <w:spacing w:after="80" w:before="360" w:lineRule="auto"/>
    </w:pPr>
    <w:rPr>
      <w:b w:val="1"/>
      <w:sz w:val="36"/>
      <w:szCs w:val="36"/>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qFormat w:val="1"/>
  </w:style>
  <w:style w:type="paragraph" w:styleId="Heading1">
    <w:name w:val="heading 1"/>
    <w:basedOn w:val="Normal"/>
    <w:next w:val="Normal"/>
    <w:uiPriority w:val="9"/>
    <w:qFormat w:val="1"/>
    <w:pPr>
      <w:keepNext w:val="1"/>
      <w:keepLines w:val="1"/>
      <w:spacing w:after="120" w:before="480"/>
      <w:outlineLvl w:val="0"/>
    </w:pPr>
    <w:rPr>
      <w:b w:val="1"/>
      <w:sz w:val="48"/>
      <w:szCs w:val="48"/>
    </w:rPr>
  </w:style>
  <w:style w:type="paragraph" w:styleId="Heading2">
    <w:name w:val="heading 2"/>
    <w:basedOn w:val="Normal"/>
    <w:next w:val="Normal"/>
    <w:uiPriority w:val="9"/>
    <w:semiHidden w:val="1"/>
    <w:unhideWhenUsed w:val="1"/>
    <w:qFormat w:val="1"/>
    <w:pPr>
      <w:keepNext w:val="1"/>
      <w:keepLines w:val="1"/>
      <w:spacing w:after="80" w:before="360"/>
      <w:outlineLvl w:val="1"/>
    </w:pPr>
    <w:rPr>
      <w:b w:val="1"/>
      <w:sz w:val="36"/>
      <w:szCs w:val="36"/>
    </w:rPr>
  </w:style>
  <w:style w:type="paragraph" w:styleId="Heading3">
    <w:name w:val="heading 3"/>
    <w:basedOn w:val="Normal"/>
    <w:next w:val="Normal"/>
    <w:uiPriority w:val="9"/>
    <w:semiHidden w:val="1"/>
    <w:unhideWhenUsed w:val="1"/>
    <w:qFormat w:val="1"/>
    <w:pPr>
      <w:keepNext w:val="1"/>
      <w:keepLines w:val="1"/>
      <w:spacing w:after="80" w:before="280"/>
      <w:outlineLvl w:val="2"/>
    </w:pPr>
    <w:rPr>
      <w:b w:val="1"/>
      <w:sz w:val="28"/>
      <w:szCs w:val="28"/>
    </w:rPr>
  </w:style>
  <w:style w:type="paragraph" w:styleId="Heading4">
    <w:name w:val="heading 4"/>
    <w:basedOn w:val="Normal"/>
    <w:next w:val="Normal"/>
    <w:uiPriority w:val="9"/>
    <w:semiHidden w:val="1"/>
    <w:unhideWhenUsed w:val="1"/>
    <w:qFormat w:val="1"/>
    <w:pPr>
      <w:keepNext w:val="1"/>
      <w:keepLines w:val="1"/>
      <w:spacing w:after="40" w:before="240"/>
      <w:outlineLvl w:val="3"/>
    </w:pPr>
    <w:rPr>
      <w:b w:val="1"/>
      <w:sz w:val="24"/>
      <w:szCs w:val="24"/>
    </w:rPr>
  </w:style>
  <w:style w:type="paragraph" w:styleId="Heading5">
    <w:name w:val="heading 5"/>
    <w:basedOn w:val="Normal"/>
    <w:next w:val="Normal"/>
    <w:uiPriority w:val="9"/>
    <w:semiHidden w:val="1"/>
    <w:unhideWhenUsed w:val="1"/>
    <w:qFormat w:val="1"/>
    <w:pPr>
      <w:keepNext w:val="1"/>
      <w:keepLines w:val="1"/>
      <w:spacing w:after="40" w:before="220"/>
      <w:outlineLvl w:val="4"/>
    </w:pPr>
    <w:rPr>
      <w:b w:val="1"/>
    </w:rPr>
  </w:style>
  <w:style w:type="paragraph" w:styleId="Heading6">
    <w:name w:val="heading 6"/>
    <w:basedOn w:val="Normal"/>
    <w:next w:val="Normal"/>
    <w:uiPriority w:val="9"/>
    <w:semiHidden w:val="1"/>
    <w:unhideWhenUsed w:val="1"/>
    <w:qFormat w:val="1"/>
    <w:pPr>
      <w:keepNext w:val="1"/>
      <w:keepLines w:val="1"/>
      <w:spacing w:after="40" w:before="200"/>
      <w:outlineLvl w:val="5"/>
    </w:pPr>
    <w:rPr>
      <w:b w:val="1"/>
      <w:sz w:val="20"/>
      <w:szCs w:val="20"/>
    </w:rPr>
  </w:style>
  <w:style w:type="character" w:styleId="DefaultParagraphFont" w:default="1">
    <w:name w:val="Default Paragraph Font"/>
    <w:uiPriority w:val="1"/>
    <w:semiHidden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Title">
    <w:name w:val="Title"/>
    <w:basedOn w:val="Normal"/>
    <w:next w:val="Normal"/>
    <w:uiPriority w:val="10"/>
    <w:qFormat w:val="1"/>
    <w:pPr>
      <w:keepNext w:val="1"/>
      <w:keepLines w:val="1"/>
      <w:spacing w:after="120" w:before="480"/>
    </w:pPr>
    <w:rPr>
      <w:b w:val="1"/>
      <w:sz w:val="72"/>
      <w:szCs w:val="72"/>
    </w:rPr>
  </w:style>
  <w:style w:type="paragraph" w:styleId="Subtitle">
    <w:name w:val="Subtitle"/>
    <w:basedOn w:val="Normal"/>
    <w:next w:val="Normal"/>
    <w:uiPriority w:val="11"/>
    <w:qFormat w:val="1"/>
    <w:pPr>
      <w:keepNext w:val="1"/>
      <w:keepLines w:val="1"/>
      <w:spacing w:after="80" w:before="360"/>
    </w:pPr>
    <w:rPr>
      <w:rFonts w:ascii="Georgia" w:cs="Georgia" w:eastAsia="Georgia" w:hAnsi="Georgia"/>
      <w:i w:val="1"/>
      <w:color w:val="666666"/>
      <w:sz w:val="48"/>
      <w:szCs w:val="48"/>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32W9DuP7qkGx05aQJ4c2cnSgKpg==">CgMxLjAyDmguaXd1aHl3dDNtYm96OAByITF3REpjeFRTOVBvdFZnZDFCbVN6MlJaNjBhZ2QteERmYg==</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2024-03-14T18:58:00Z</dcterms:created>
  <dc:creator>Abumuhor, Ihab A</dc:creator>
</cp:coreProperties>
</file>